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58E48A">
      <w:pPr>
        <w:jc w:val="center"/>
        <w:rPr>
          <w:rFonts w:hint="eastAsia" w:ascii="宋体" w:hAnsi="宋体" w:cs="宋体"/>
          <w:b/>
          <w:sz w:val="44"/>
          <w:szCs w:val="44"/>
          <w:lang w:val="en-US" w:eastAsia="zh-CN"/>
        </w:rPr>
      </w:pPr>
      <w:r>
        <w:rPr>
          <w:rFonts w:hint="eastAsia" w:ascii="宋体" w:hAnsi="宋体" w:eastAsia="宋体" w:cs="宋体"/>
          <w:b/>
          <w:sz w:val="44"/>
          <w:szCs w:val="44"/>
          <w:lang w:val="en-US" w:eastAsia="zh-CN"/>
        </w:rPr>
        <w:t>广东省妇幼保健院清远院区</w:t>
      </w:r>
      <w:r>
        <w:rPr>
          <w:rFonts w:hint="eastAsia" w:ascii="宋体" w:hAnsi="宋体" w:cs="宋体"/>
          <w:b/>
          <w:sz w:val="44"/>
          <w:szCs w:val="44"/>
          <w:lang w:val="en-US" w:eastAsia="zh-CN"/>
        </w:rPr>
        <w:t>污水处理站建设工程</w:t>
      </w:r>
      <w:r>
        <w:rPr>
          <w:rFonts w:hint="eastAsia" w:ascii="宋体" w:hAnsi="宋体" w:eastAsia="宋体" w:cs="宋体"/>
          <w:b/>
          <w:sz w:val="44"/>
          <w:szCs w:val="44"/>
          <w:lang w:val="en-US" w:eastAsia="zh-CN"/>
        </w:rPr>
        <w:t>竣工</w:t>
      </w:r>
      <w:r>
        <w:rPr>
          <w:rFonts w:hint="eastAsia" w:ascii="宋体" w:hAnsi="宋体" w:cs="宋体"/>
          <w:b/>
          <w:sz w:val="44"/>
          <w:szCs w:val="44"/>
          <w:lang w:val="en-US" w:eastAsia="zh-CN"/>
        </w:rPr>
        <w:t>委托</w:t>
      </w:r>
      <w:r>
        <w:rPr>
          <w:rFonts w:hint="eastAsia" w:ascii="宋体" w:hAnsi="宋体" w:eastAsia="宋体" w:cs="宋体"/>
          <w:b/>
          <w:sz w:val="44"/>
          <w:szCs w:val="44"/>
          <w:lang w:val="en-US" w:eastAsia="zh-CN"/>
        </w:rPr>
        <w:t>验收</w:t>
      </w:r>
      <w:r>
        <w:rPr>
          <w:rFonts w:hint="eastAsia" w:ascii="宋体" w:hAnsi="宋体" w:cs="宋体"/>
          <w:b/>
          <w:sz w:val="44"/>
          <w:szCs w:val="44"/>
          <w:lang w:val="en-US" w:eastAsia="zh-CN"/>
        </w:rPr>
        <w:t>项目需求书</w:t>
      </w:r>
    </w:p>
    <w:p w14:paraId="0F880B3B">
      <w:pPr>
        <w:jc w:val="both"/>
        <w:rPr>
          <w:rFonts w:hint="eastAsia" w:ascii="宋体" w:hAnsi="宋体" w:cs="宋体"/>
          <w:b/>
          <w:sz w:val="44"/>
          <w:szCs w:val="44"/>
          <w:lang w:val="en-US" w:eastAsia="zh-CN"/>
        </w:rPr>
      </w:pPr>
    </w:p>
    <w:p w14:paraId="4921FCAF">
      <w:pPr>
        <w:numPr>
          <w:ilvl w:val="0"/>
          <w:numId w:val="0"/>
        </w:numPr>
        <w:jc w:val="both"/>
        <w:rPr>
          <w:rFonts w:hint="eastAsia" w:ascii="仿宋" w:hAnsi="仿宋" w:eastAsia="仿宋" w:cs="仿宋"/>
          <w:b/>
          <w:bCs w:val="0"/>
          <w:sz w:val="28"/>
          <w:szCs w:val="28"/>
          <w:lang w:val="en-US" w:eastAsia="zh-CN"/>
        </w:rPr>
      </w:pPr>
      <w:r>
        <w:rPr>
          <w:rFonts w:hint="eastAsia" w:ascii="仿宋" w:hAnsi="仿宋" w:eastAsia="仿宋" w:cs="仿宋"/>
          <w:b/>
          <w:bCs w:val="0"/>
          <w:kern w:val="2"/>
          <w:sz w:val="28"/>
          <w:szCs w:val="28"/>
          <w:lang w:val="en-US" w:eastAsia="zh-CN" w:bidi="ar-SA"/>
        </w:rPr>
        <w:t>一、</w:t>
      </w:r>
      <w:r>
        <w:rPr>
          <w:rFonts w:hint="eastAsia" w:ascii="仿宋" w:hAnsi="仿宋" w:eastAsia="仿宋" w:cs="仿宋"/>
          <w:b/>
          <w:bCs w:val="0"/>
          <w:sz w:val="28"/>
          <w:szCs w:val="28"/>
          <w:lang w:val="en-US" w:eastAsia="zh-CN"/>
        </w:rPr>
        <w:t>服务地点</w:t>
      </w:r>
    </w:p>
    <w:p w14:paraId="6B530ED4">
      <w:pPr>
        <w:numPr>
          <w:ilvl w:val="0"/>
          <w:numId w:val="0"/>
        </w:numPr>
        <w:jc w:val="both"/>
        <w:rPr>
          <w:rFonts w:hint="eastAsia" w:ascii="仿宋" w:hAnsi="仿宋" w:eastAsia="仿宋" w:cs="仿宋"/>
          <w:b w:val="0"/>
          <w:bCs/>
          <w:sz w:val="28"/>
          <w:szCs w:val="28"/>
          <w:lang w:val="en-US" w:eastAsia="zh-CN"/>
        </w:rPr>
      </w:pPr>
      <w:r>
        <w:rPr>
          <w:rFonts w:hint="eastAsia" w:ascii="仿宋" w:hAnsi="仿宋" w:eastAsia="仿宋" w:cs="仿宋"/>
          <w:b w:val="0"/>
          <w:bCs/>
          <w:sz w:val="28"/>
          <w:szCs w:val="28"/>
          <w:lang w:val="en-US" w:eastAsia="zh-CN"/>
        </w:rPr>
        <w:t>单位：广东省妇幼保健院清远院区</w:t>
      </w:r>
    </w:p>
    <w:p w14:paraId="41021B1E">
      <w:pPr>
        <w:numPr>
          <w:ilvl w:val="0"/>
          <w:numId w:val="0"/>
        </w:numPr>
        <w:jc w:val="both"/>
        <w:rPr>
          <w:rFonts w:hint="eastAsia" w:ascii="仿宋" w:hAnsi="仿宋" w:eastAsia="仿宋" w:cs="仿宋"/>
          <w:b w:val="0"/>
          <w:bCs/>
          <w:sz w:val="28"/>
          <w:szCs w:val="28"/>
          <w:lang w:val="en-US" w:eastAsia="zh-CN"/>
        </w:rPr>
      </w:pPr>
      <w:r>
        <w:rPr>
          <w:rFonts w:hint="eastAsia" w:ascii="仿宋" w:hAnsi="仿宋" w:eastAsia="仿宋" w:cs="仿宋"/>
          <w:b w:val="0"/>
          <w:bCs/>
          <w:sz w:val="28"/>
          <w:szCs w:val="28"/>
          <w:lang w:val="en-US" w:eastAsia="zh-CN"/>
        </w:rPr>
        <w:t>地址：清远市清新区太和镇春安路1，3号</w:t>
      </w:r>
    </w:p>
    <w:p w14:paraId="2CC2BD22">
      <w:pPr>
        <w:numPr>
          <w:ilvl w:val="0"/>
          <w:numId w:val="0"/>
        </w:numPr>
        <w:jc w:val="both"/>
        <w:rPr>
          <w:rFonts w:hint="default" w:ascii="仿宋" w:hAnsi="仿宋" w:eastAsia="仿宋" w:cs="仿宋"/>
          <w:b/>
          <w:bCs w:val="0"/>
          <w:sz w:val="28"/>
          <w:szCs w:val="28"/>
          <w:vertAlign w:val="baseline"/>
          <w:lang w:val="en-US" w:eastAsia="zh-CN"/>
        </w:rPr>
      </w:pPr>
      <w:r>
        <w:rPr>
          <w:rFonts w:hint="eastAsia" w:ascii="仿宋" w:hAnsi="仿宋" w:eastAsia="仿宋" w:cs="仿宋"/>
          <w:b/>
          <w:bCs w:val="0"/>
          <w:sz w:val="28"/>
          <w:szCs w:val="28"/>
          <w:lang w:val="en-US" w:eastAsia="zh-CN"/>
        </w:rPr>
        <w:t>二、采购项目及预算</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9"/>
        <w:gridCol w:w="4770"/>
        <w:gridCol w:w="1155"/>
        <w:gridCol w:w="1688"/>
      </w:tblGrid>
      <w:tr w14:paraId="5405E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Pr>
          <w:p w14:paraId="6A4A98EF">
            <w:pPr>
              <w:numPr>
                <w:ilvl w:val="0"/>
                <w:numId w:val="0"/>
              </w:numPr>
              <w:jc w:val="center"/>
              <w:rPr>
                <w:rFonts w:hint="eastAsia" w:ascii="仿宋" w:hAnsi="仿宋" w:eastAsia="仿宋" w:cs="仿宋"/>
                <w:b w:val="0"/>
                <w:bCs/>
                <w:sz w:val="28"/>
                <w:szCs w:val="28"/>
                <w:vertAlign w:val="baseline"/>
                <w:lang w:val="en-US" w:eastAsia="zh-CN"/>
              </w:rPr>
            </w:pPr>
            <w:r>
              <w:rPr>
                <w:rFonts w:hint="eastAsia" w:ascii="仿宋" w:hAnsi="仿宋" w:eastAsia="仿宋" w:cs="仿宋"/>
                <w:b w:val="0"/>
                <w:bCs/>
                <w:sz w:val="28"/>
                <w:szCs w:val="28"/>
                <w:vertAlign w:val="baseline"/>
                <w:lang w:val="en-US" w:eastAsia="zh-CN"/>
              </w:rPr>
              <w:t>序号</w:t>
            </w:r>
          </w:p>
        </w:tc>
        <w:tc>
          <w:tcPr>
            <w:tcW w:w="4770" w:type="dxa"/>
          </w:tcPr>
          <w:p w14:paraId="28315E58">
            <w:pPr>
              <w:numPr>
                <w:ilvl w:val="0"/>
                <w:numId w:val="0"/>
              </w:numPr>
              <w:jc w:val="center"/>
              <w:rPr>
                <w:rFonts w:hint="eastAsia" w:ascii="仿宋" w:hAnsi="仿宋" w:eastAsia="仿宋" w:cs="仿宋"/>
                <w:b w:val="0"/>
                <w:bCs/>
                <w:sz w:val="28"/>
                <w:szCs w:val="28"/>
                <w:vertAlign w:val="baseline"/>
                <w:lang w:val="en-US" w:eastAsia="zh-CN"/>
              </w:rPr>
            </w:pPr>
            <w:r>
              <w:rPr>
                <w:rFonts w:hint="eastAsia" w:ascii="仿宋" w:hAnsi="仿宋" w:eastAsia="仿宋" w:cs="仿宋"/>
                <w:b w:val="0"/>
                <w:bCs/>
                <w:sz w:val="28"/>
                <w:szCs w:val="28"/>
                <w:vertAlign w:val="baseline"/>
                <w:lang w:val="en-US" w:eastAsia="zh-CN"/>
              </w:rPr>
              <w:t>内容</w:t>
            </w:r>
          </w:p>
        </w:tc>
        <w:tc>
          <w:tcPr>
            <w:tcW w:w="1155" w:type="dxa"/>
          </w:tcPr>
          <w:p w14:paraId="403883B4">
            <w:pPr>
              <w:numPr>
                <w:ilvl w:val="0"/>
                <w:numId w:val="0"/>
              </w:numPr>
              <w:jc w:val="center"/>
              <w:rPr>
                <w:rFonts w:hint="eastAsia" w:ascii="仿宋" w:hAnsi="仿宋" w:eastAsia="仿宋" w:cs="仿宋"/>
                <w:b w:val="0"/>
                <w:bCs/>
                <w:sz w:val="28"/>
                <w:szCs w:val="28"/>
                <w:vertAlign w:val="baseline"/>
                <w:lang w:val="en-US" w:eastAsia="zh-CN"/>
              </w:rPr>
            </w:pPr>
            <w:r>
              <w:rPr>
                <w:rFonts w:hint="eastAsia" w:ascii="仿宋" w:hAnsi="仿宋" w:eastAsia="仿宋" w:cs="仿宋"/>
                <w:b w:val="0"/>
                <w:bCs/>
                <w:sz w:val="28"/>
                <w:szCs w:val="28"/>
                <w:vertAlign w:val="baseline"/>
                <w:lang w:val="en-US" w:eastAsia="zh-CN"/>
              </w:rPr>
              <w:t>数量</w:t>
            </w:r>
          </w:p>
        </w:tc>
        <w:tc>
          <w:tcPr>
            <w:tcW w:w="1688" w:type="dxa"/>
          </w:tcPr>
          <w:p w14:paraId="09FB6DFC">
            <w:pPr>
              <w:numPr>
                <w:ilvl w:val="0"/>
                <w:numId w:val="0"/>
              </w:numPr>
              <w:jc w:val="center"/>
              <w:rPr>
                <w:rFonts w:hint="eastAsia" w:ascii="仿宋" w:hAnsi="仿宋" w:eastAsia="仿宋" w:cs="仿宋"/>
                <w:b w:val="0"/>
                <w:bCs/>
                <w:sz w:val="28"/>
                <w:szCs w:val="28"/>
                <w:vertAlign w:val="baseline"/>
                <w:lang w:val="en-US" w:eastAsia="zh-CN"/>
              </w:rPr>
            </w:pPr>
            <w:r>
              <w:rPr>
                <w:rFonts w:hint="eastAsia" w:ascii="仿宋" w:hAnsi="仿宋" w:eastAsia="仿宋" w:cs="仿宋"/>
                <w:b w:val="0"/>
                <w:bCs/>
                <w:sz w:val="28"/>
                <w:szCs w:val="28"/>
                <w:vertAlign w:val="baseline"/>
                <w:lang w:val="en-US" w:eastAsia="zh-CN"/>
              </w:rPr>
              <w:t>金额</w:t>
            </w:r>
          </w:p>
        </w:tc>
      </w:tr>
      <w:tr w14:paraId="091EA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Pr>
          <w:p w14:paraId="2EF83EB3">
            <w:pPr>
              <w:numPr>
                <w:ilvl w:val="0"/>
                <w:numId w:val="0"/>
              </w:numPr>
              <w:jc w:val="center"/>
              <w:rPr>
                <w:rFonts w:hint="eastAsia" w:ascii="仿宋" w:hAnsi="仿宋" w:eastAsia="仿宋" w:cs="仿宋"/>
                <w:b w:val="0"/>
                <w:bCs/>
                <w:sz w:val="28"/>
                <w:szCs w:val="28"/>
                <w:vertAlign w:val="baseline"/>
                <w:lang w:val="en-US" w:eastAsia="zh-CN"/>
              </w:rPr>
            </w:pPr>
            <w:r>
              <w:rPr>
                <w:rFonts w:hint="eastAsia" w:ascii="仿宋" w:hAnsi="仿宋" w:eastAsia="仿宋" w:cs="仿宋"/>
                <w:b w:val="0"/>
                <w:bCs/>
                <w:sz w:val="28"/>
                <w:szCs w:val="28"/>
                <w:vertAlign w:val="baseline"/>
                <w:lang w:val="en-US" w:eastAsia="zh-CN"/>
              </w:rPr>
              <w:t>1</w:t>
            </w:r>
          </w:p>
        </w:tc>
        <w:tc>
          <w:tcPr>
            <w:tcW w:w="4770" w:type="dxa"/>
          </w:tcPr>
          <w:p w14:paraId="714E3436">
            <w:pPr>
              <w:numPr>
                <w:ilvl w:val="0"/>
                <w:numId w:val="0"/>
              </w:numPr>
              <w:jc w:val="center"/>
              <w:rPr>
                <w:rFonts w:hint="eastAsia" w:ascii="仿宋" w:hAnsi="仿宋" w:eastAsia="仿宋" w:cs="仿宋"/>
                <w:b w:val="0"/>
                <w:bCs/>
                <w:sz w:val="28"/>
                <w:szCs w:val="28"/>
                <w:vertAlign w:val="baseline"/>
                <w:lang w:val="en-US" w:eastAsia="zh-CN"/>
              </w:rPr>
            </w:pPr>
            <w:r>
              <w:rPr>
                <w:rFonts w:hint="eastAsia" w:ascii="仿宋" w:hAnsi="仿宋" w:eastAsia="仿宋" w:cs="仿宋"/>
                <w:b w:val="0"/>
                <w:bCs/>
                <w:sz w:val="28"/>
                <w:szCs w:val="28"/>
              </w:rPr>
              <w:t>清远市清新区妇幼保健院</w:t>
            </w:r>
            <w:r>
              <w:rPr>
                <w:rFonts w:hint="eastAsia" w:ascii="仿宋" w:hAnsi="仿宋" w:eastAsia="仿宋" w:cs="仿宋"/>
                <w:b w:val="0"/>
                <w:bCs/>
                <w:sz w:val="28"/>
                <w:szCs w:val="28"/>
                <w:lang w:val="en-US" w:eastAsia="zh-CN"/>
              </w:rPr>
              <w:t>污水处理站建设工程委托竣工验收项目</w:t>
            </w:r>
          </w:p>
        </w:tc>
        <w:tc>
          <w:tcPr>
            <w:tcW w:w="1155" w:type="dxa"/>
          </w:tcPr>
          <w:p w14:paraId="6F1A65CF">
            <w:pPr>
              <w:numPr>
                <w:ilvl w:val="0"/>
                <w:numId w:val="0"/>
              </w:numPr>
              <w:jc w:val="center"/>
              <w:rPr>
                <w:rFonts w:hint="eastAsia" w:ascii="仿宋" w:hAnsi="仿宋" w:eastAsia="仿宋" w:cs="仿宋"/>
                <w:b w:val="0"/>
                <w:bCs/>
                <w:sz w:val="28"/>
                <w:szCs w:val="28"/>
                <w:vertAlign w:val="baseline"/>
                <w:lang w:val="en-US" w:eastAsia="zh-CN"/>
              </w:rPr>
            </w:pPr>
            <w:r>
              <w:rPr>
                <w:rFonts w:hint="eastAsia" w:ascii="仿宋" w:hAnsi="仿宋" w:eastAsia="仿宋" w:cs="仿宋"/>
                <w:b w:val="0"/>
                <w:bCs/>
                <w:sz w:val="28"/>
                <w:szCs w:val="28"/>
                <w:vertAlign w:val="baseline"/>
                <w:lang w:val="en-US" w:eastAsia="zh-CN"/>
              </w:rPr>
              <w:t>1</w:t>
            </w:r>
          </w:p>
        </w:tc>
        <w:tc>
          <w:tcPr>
            <w:tcW w:w="1688" w:type="dxa"/>
          </w:tcPr>
          <w:p w14:paraId="1F3D5E8A">
            <w:pPr>
              <w:numPr>
                <w:ilvl w:val="0"/>
                <w:numId w:val="0"/>
              </w:numPr>
              <w:jc w:val="center"/>
              <w:rPr>
                <w:rFonts w:hint="default" w:ascii="仿宋" w:hAnsi="仿宋" w:eastAsia="仿宋" w:cs="仿宋"/>
                <w:b w:val="0"/>
                <w:bCs/>
                <w:sz w:val="28"/>
                <w:szCs w:val="28"/>
                <w:vertAlign w:val="baseline"/>
                <w:lang w:val="en-US" w:eastAsia="zh-CN"/>
              </w:rPr>
            </w:pPr>
            <w:r>
              <w:rPr>
                <w:rFonts w:hint="eastAsia" w:ascii="仿宋" w:hAnsi="仿宋" w:eastAsia="仿宋" w:cs="仿宋"/>
                <w:b w:val="0"/>
                <w:bCs/>
                <w:sz w:val="28"/>
                <w:szCs w:val="28"/>
                <w:vertAlign w:val="baseline"/>
                <w:lang w:val="en-US" w:eastAsia="zh-CN"/>
              </w:rPr>
              <w:t>9.9万元</w:t>
            </w:r>
          </w:p>
        </w:tc>
      </w:tr>
    </w:tbl>
    <w:p w14:paraId="3C7B8B22">
      <w:pPr>
        <w:numPr>
          <w:ilvl w:val="0"/>
          <w:numId w:val="0"/>
        </w:numPr>
        <w:ind w:leftChars="0"/>
        <w:jc w:val="both"/>
        <w:rPr>
          <w:rFonts w:hint="eastAsia" w:ascii="仿宋" w:hAnsi="仿宋" w:eastAsia="仿宋" w:cs="仿宋"/>
          <w:b/>
          <w:bCs w:val="0"/>
          <w:sz w:val="28"/>
          <w:szCs w:val="28"/>
          <w:lang w:val="en-US" w:eastAsia="zh-CN"/>
        </w:rPr>
      </w:pPr>
    </w:p>
    <w:p w14:paraId="6C8D20CD">
      <w:pPr>
        <w:pageBreakBefore w:val="0"/>
        <w:widowControl w:val="0"/>
        <w:numPr>
          <w:ilvl w:val="0"/>
          <w:numId w:val="0"/>
        </w:numPr>
        <w:kinsoku/>
        <w:wordWrap/>
        <w:overflowPunct/>
        <w:topLinePunct w:val="0"/>
        <w:autoSpaceDE/>
        <w:autoSpaceDN/>
        <w:bidi w:val="0"/>
        <w:adjustRightInd/>
        <w:snapToGrid/>
        <w:spacing w:after="157" w:afterLines="50"/>
        <w:ind w:leftChars="0"/>
        <w:jc w:val="both"/>
        <w:textAlignment w:val="auto"/>
        <w:rPr>
          <w:rFonts w:hint="eastAsia" w:ascii="仿宋" w:hAnsi="仿宋" w:eastAsia="仿宋" w:cs="仿宋"/>
          <w:b/>
          <w:bCs w:val="0"/>
          <w:sz w:val="28"/>
          <w:szCs w:val="28"/>
          <w:lang w:val="en-US" w:eastAsia="zh-CN"/>
        </w:rPr>
      </w:pPr>
      <w:r>
        <w:rPr>
          <w:rFonts w:hint="eastAsia" w:ascii="仿宋" w:hAnsi="仿宋" w:eastAsia="仿宋" w:cs="仿宋"/>
          <w:b/>
          <w:bCs w:val="0"/>
          <w:sz w:val="28"/>
          <w:szCs w:val="28"/>
          <w:lang w:val="en-US" w:eastAsia="zh-CN"/>
        </w:rPr>
        <w:t>三、项目需求</w:t>
      </w:r>
    </w:p>
    <w:p w14:paraId="2C564771">
      <w:pPr>
        <w:pStyle w:val="2"/>
        <w:pageBreakBefore w:val="0"/>
        <w:widowControl w:val="0"/>
        <w:kinsoku/>
        <w:wordWrap/>
        <w:overflowPunct/>
        <w:topLinePunct w:val="0"/>
        <w:autoSpaceDE/>
        <w:autoSpaceDN/>
        <w:bidi w:val="0"/>
        <w:adjustRightInd/>
        <w:snapToGrid/>
        <w:spacing w:afterLines="0"/>
        <w:textAlignment w:val="auto"/>
        <w:rPr>
          <w:rFonts w:hint="eastAsia" w:ascii="仿宋" w:hAnsi="仿宋" w:eastAsia="仿宋" w:cs="仿宋"/>
          <w:b/>
          <w:bCs/>
          <w:kern w:val="2"/>
          <w:sz w:val="28"/>
          <w:szCs w:val="28"/>
          <w:lang w:val="en-US" w:eastAsia="zh-CN" w:bidi="ar-SA"/>
        </w:rPr>
      </w:pPr>
      <w:r>
        <w:rPr>
          <w:rFonts w:hint="eastAsia" w:ascii="仿宋" w:hAnsi="仿宋" w:eastAsia="仿宋" w:cs="仿宋"/>
          <w:b/>
          <w:bCs/>
          <w:kern w:val="2"/>
          <w:sz w:val="28"/>
          <w:szCs w:val="28"/>
          <w:lang w:val="en-US" w:eastAsia="zh-CN" w:bidi="ar-SA"/>
        </w:rPr>
        <w:t>1、项目竣工环境保护验收工作流程</w:t>
      </w:r>
    </w:p>
    <w:p w14:paraId="5E3C72A7">
      <w:pPr>
        <w:pageBreakBefore w:val="0"/>
        <w:widowControl w:val="0"/>
        <w:kinsoku/>
        <w:wordWrap/>
        <w:overflowPunct/>
        <w:topLinePunct w:val="0"/>
        <w:autoSpaceDE/>
        <w:autoSpaceDN/>
        <w:bidi w:val="0"/>
        <w:adjustRightInd/>
        <w:snapToGrid/>
        <w:spacing w:afterLines="0"/>
        <w:textAlignment w:val="auto"/>
        <w:rPr>
          <w:rFonts w:hint="eastAsia" w:ascii="仿宋" w:hAnsi="仿宋" w:eastAsia="仿宋" w:cs="仿宋"/>
          <w:sz w:val="28"/>
          <w:szCs w:val="28"/>
        </w:rPr>
      </w:pPr>
      <w:r>
        <w:rPr>
          <w:rFonts w:hint="eastAsia" w:ascii="仿宋" w:hAnsi="仿宋" w:eastAsia="仿宋" w:cs="仿宋"/>
          <w:sz w:val="28"/>
          <w:szCs w:val="28"/>
        </w:rPr>
        <w:t>1）资料收集和现场考察；</w:t>
      </w:r>
    </w:p>
    <w:p w14:paraId="772FB025">
      <w:pPr>
        <w:pageBreakBefore w:val="0"/>
        <w:widowControl w:val="0"/>
        <w:kinsoku/>
        <w:wordWrap/>
        <w:overflowPunct/>
        <w:topLinePunct w:val="0"/>
        <w:autoSpaceDE/>
        <w:autoSpaceDN/>
        <w:bidi w:val="0"/>
        <w:adjustRightInd/>
        <w:snapToGrid/>
        <w:spacing w:afterLines="0"/>
        <w:textAlignment w:val="auto"/>
        <w:rPr>
          <w:rFonts w:hint="eastAsia" w:ascii="仿宋" w:hAnsi="仿宋" w:eastAsia="仿宋" w:cs="仿宋"/>
          <w:sz w:val="28"/>
          <w:szCs w:val="28"/>
        </w:rPr>
      </w:pPr>
      <w:r>
        <w:rPr>
          <w:rFonts w:hint="eastAsia" w:ascii="仿宋" w:hAnsi="仿宋" w:eastAsia="仿宋" w:cs="仿宋"/>
          <w:sz w:val="28"/>
          <w:szCs w:val="28"/>
        </w:rPr>
        <w:t>2）编制环境突发事件应急预案</w:t>
      </w:r>
      <w:r>
        <w:rPr>
          <w:rFonts w:hint="eastAsia" w:ascii="仿宋" w:hAnsi="仿宋" w:eastAsia="仿宋" w:cs="仿宋"/>
          <w:sz w:val="28"/>
          <w:szCs w:val="28"/>
          <w:lang w:eastAsia="zh-CN"/>
        </w:rPr>
        <w:t>、组织评审及备案</w:t>
      </w:r>
      <w:r>
        <w:rPr>
          <w:rFonts w:hint="eastAsia" w:ascii="仿宋" w:hAnsi="仿宋" w:eastAsia="仿宋" w:cs="仿宋"/>
          <w:sz w:val="28"/>
          <w:szCs w:val="28"/>
        </w:rPr>
        <w:t>；</w:t>
      </w:r>
    </w:p>
    <w:p w14:paraId="7AAB6687">
      <w:pPr>
        <w:pageBreakBefore w:val="0"/>
        <w:widowControl w:val="0"/>
        <w:kinsoku/>
        <w:wordWrap/>
        <w:overflowPunct/>
        <w:topLinePunct w:val="0"/>
        <w:autoSpaceDE/>
        <w:autoSpaceDN/>
        <w:bidi w:val="0"/>
        <w:adjustRightInd/>
        <w:snapToGrid/>
        <w:spacing w:afterLines="0"/>
        <w:textAlignment w:val="auto"/>
        <w:rPr>
          <w:rFonts w:hint="eastAsia" w:ascii="仿宋" w:hAnsi="仿宋" w:eastAsia="仿宋" w:cs="仿宋"/>
          <w:sz w:val="28"/>
          <w:szCs w:val="28"/>
        </w:rPr>
      </w:pPr>
      <w:r>
        <w:rPr>
          <w:rFonts w:hint="eastAsia" w:ascii="仿宋" w:hAnsi="仿宋" w:eastAsia="仿宋" w:cs="仿宋"/>
          <w:sz w:val="28"/>
          <w:szCs w:val="28"/>
        </w:rPr>
        <w:t>3）编制</w:t>
      </w:r>
      <w:r>
        <w:rPr>
          <w:rFonts w:hint="eastAsia" w:ascii="仿宋" w:hAnsi="仿宋" w:eastAsia="仿宋" w:cs="仿宋"/>
          <w:sz w:val="28"/>
          <w:szCs w:val="28"/>
          <w:lang w:eastAsia="zh-CN"/>
        </w:rPr>
        <w:t>安全生产</w:t>
      </w:r>
      <w:r>
        <w:rPr>
          <w:rFonts w:hint="eastAsia" w:ascii="仿宋" w:hAnsi="仿宋" w:eastAsia="仿宋" w:cs="仿宋"/>
          <w:sz w:val="28"/>
          <w:szCs w:val="28"/>
        </w:rPr>
        <w:t>应急预案</w:t>
      </w:r>
      <w:r>
        <w:rPr>
          <w:rFonts w:hint="eastAsia" w:ascii="仿宋" w:hAnsi="仿宋" w:eastAsia="仿宋" w:cs="仿宋"/>
          <w:sz w:val="28"/>
          <w:szCs w:val="28"/>
          <w:lang w:eastAsia="zh-CN"/>
        </w:rPr>
        <w:t>、组织评审及备案</w:t>
      </w:r>
      <w:r>
        <w:rPr>
          <w:rFonts w:hint="eastAsia" w:ascii="仿宋" w:hAnsi="仿宋" w:eastAsia="仿宋" w:cs="仿宋"/>
          <w:sz w:val="28"/>
          <w:szCs w:val="28"/>
        </w:rPr>
        <w:t>；</w:t>
      </w:r>
    </w:p>
    <w:p w14:paraId="319C74F7">
      <w:pPr>
        <w:pageBreakBefore w:val="0"/>
        <w:widowControl w:val="0"/>
        <w:kinsoku/>
        <w:wordWrap/>
        <w:overflowPunct/>
        <w:topLinePunct w:val="0"/>
        <w:autoSpaceDE/>
        <w:autoSpaceDN/>
        <w:bidi w:val="0"/>
        <w:adjustRightInd/>
        <w:snapToGrid/>
        <w:spacing w:afterLines="0"/>
        <w:textAlignment w:val="auto"/>
        <w:rPr>
          <w:rFonts w:hint="eastAsia" w:ascii="仿宋" w:hAnsi="仿宋" w:eastAsia="仿宋" w:cs="仿宋"/>
          <w:sz w:val="28"/>
          <w:szCs w:val="28"/>
        </w:rPr>
      </w:pPr>
      <w:r>
        <w:rPr>
          <w:rFonts w:hint="eastAsia" w:ascii="仿宋" w:hAnsi="仿宋" w:eastAsia="仿宋" w:cs="仿宋"/>
          <w:sz w:val="28"/>
          <w:szCs w:val="28"/>
        </w:rPr>
        <w:t>4）组织竣工验收监测；</w:t>
      </w:r>
    </w:p>
    <w:p w14:paraId="6EBB0EA8">
      <w:pPr>
        <w:pageBreakBefore w:val="0"/>
        <w:widowControl w:val="0"/>
        <w:kinsoku/>
        <w:wordWrap/>
        <w:overflowPunct/>
        <w:topLinePunct w:val="0"/>
        <w:autoSpaceDE/>
        <w:autoSpaceDN/>
        <w:bidi w:val="0"/>
        <w:adjustRightInd/>
        <w:snapToGrid/>
        <w:spacing w:afterLines="0"/>
        <w:textAlignment w:val="auto"/>
        <w:rPr>
          <w:rFonts w:hint="eastAsia" w:ascii="仿宋" w:hAnsi="仿宋" w:eastAsia="仿宋" w:cs="仿宋"/>
          <w:sz w:val="28"/>
          <w:szCs w:val="28"/>
        </w:rPr>
      </w:pPr>
      <w:r>
        <w:rPr>
          <w:rFonts w:hint="eastAsia" w:ascii="仿宋" w:hAnsi="仿宋" w:eastAsia="仿宋" w:cs="仿宋"/>
          <w:sz w:val="28"/>
          <w:szCs w:val="28"/>
        </w:rPr>
        <w:t>5）编写建设项目竣工环境保护验收报告；</w:t>
      </w:r>
    </w:p>
    <w:p w14:paraId="249ACCD5">
      <w:pPr>
        <w:pageBreakBefore w:val="0"/>
        <w:widowControl w:val="0"/>
        <w:kinsoku/>
        <w:wordWrap/>
        <w:overflowPunct/>
        <w:topLinePunct w:val="0"/>
        <w:autoSpaceDE/>
        <w:autoSpaceDN/>
        <w:bidi w:val="0"/>
        <w:adjustRightInd/>
        <w:snapToGrid/>
        <w:spacing w:afterLines="0"/>
        <w:textAlignment w:val="auto"/>
        <w:rPr>
          <w:rFonts w:hint="eastAsia" w:ascii="仿宋" w:hAnsi="仿宋" w:eastAsia="仿宋" w:cs="仿宋"/>
          <w:sz w:val="28"/>
          <w:szCs w:val="28"/>
        </w:rPr>
      </w:pPr>
      <w:r>
        <w:rPr>
          <w:rFonts w:hint="eastAsia" w:ascii="仿宋" w:hAnsi="仿宋" w:eastAsia="仿宋" w:cs="仿宋"/>
          <w:sz w:val="28"/>
          <w:szCs w:val="28"/>
        </w:rPr>
        <w:t>6）组织竣工环境保护验收报告专家评审会并将成果公示；</w:t>
      </w:r>
    </w:p>
    <w:p w14:paraId="039B21A0">
      <w:pPr>
        <w:pageBreakBefore w:val="0"/>
        <w:widowControl w:val="0"/>
        <w:kinsoku/>
        <w:wordWrap/>
        <w:overflowPunct/>
        <w:topLinePunct w:val="0"/>
        <w:autoSpaceDE/>
        <w:autoSpaceDN/>
        <w:bidi w:val="0"/>
        <w:adjustRightInd/>
        <w:snapToGrid/>
        <w:spacing w:afterLines="0"/>
        <w:textAlignment w:val="auto"/>
        <w:rPr>
          <w:rFonts w:hint="eastAsia" w:ascii="仿宋" w:hAnsi="仿宋" w:eastAsia="仿宋" w:cs="仿宋"/>
          <w:sz w:val="28"/>
          <w:szCs w:val="28"/>
        </w:rPr>
      </w:pPr>
      <w:r>
        <w:rPr>
          <w:rFonts w:hint="eastAsia" w:ascii="仿宋" w:hAnsi="仿宋" w:eastAsia="仿宋" w:cs="仿宋"/>
          <w:sz w:val="28"/>
          <w:szCs w:val="28"/>
        </w:rPr>
        <w:t>7）根据验收意见上传相关验收资料至全国信息平台。</w:t>
      </w:r>
      <w:bookmarkStart w:id="0" w:name="_Toc494538640"/>
    </w:p>
    <w:p w14:paraId="3987DA8F">
      <w:pPr>
        <w:pageBreakBefore w:val="0"/>
        <w:widowControl w:val="0"/>
        <w:kinsoku/>
        <w:wordWrap/>
        <w:overflowPunct/>
        <w:topLinePunct w:val="0"/>
        <w:autoSpaceDE/>
        <w:autoSpaceDN/>
        <w:bidi w:val="0"/>
        <w:adjustRightInd/>
        <w:snapToGrid/>
        <w:spacing w:afterLines="0"/>
        <w:textAlignment w:val="auto"/>
        <w:rPr>
          <w:rFonts w:hint="eastAsia" w:ascii="仿宋" w:hAnsi="仿宋" w:eastAsia="仿宋" w:cs="仿宋"/>
          <w:b/>
          <w:bCs/>
          <w:sz w:val="28"/>
          <w:szCs w:val="28"/>
          <w:lang w:val="en-US" w:eastAsia="zh-CN"/>
        </w:rPr>
      </w:pPr>
    </w:p>
    <w:p w14:paraId="2900D441">
      <w:pPr>
        <w:pageBreakBefore w:val="0"/>
        <w:widowControl w:val="0"/>
        <w:kinsoku/>
        <w:wordWrap/>
        <w:overflowPunct/>
        <w:topLinePunct w:val="0"/>
        <w:autoSpaceDE/>
        <w:autoSpaceDN/>
        <w:bidi w:val="0"/>
        <w:adjustRightInd/>
        <w:snapToGrid/>
        <w:spacing w:afterLines="0"/>
        <w:textAlignment w:val="auto"/>
        <w:rPr>
          <w:rFonts w:hint="eastAsia" w:ascii="仿宋" w:hAnsi="仿宋" w:eastAsia="仿宋" w:cs="仿宋"/>
          <w:b/>
          <w:bCs/>
          <w:sz w:val="28"/>
          <w:szCs w:val="28"/>
        </w:rPr>
      </w:pPr>
      <w:r>
        <w:rPr>
          <w:rFonts w:hint="eastAsia" w:ascii="仿宋" w:hAnsi="仿宋" w:eastAsia="仿宋" w:cs="仿宋"/>
          <w:b/>
          <w:bCs/>
          <w:sz w:val="28"/>
          <w:szCs w:val="28"/>
          <w:lang w:val="en-US" w:eastAsia="zh-CN"/>
        </w:rPr>
        <w:t>二、</w:t>
      </w:r>
      <w:r>
        <w:rPr>
          <w:rFonts w:hint="eastAsia" w:ascii="仿宋" w:hAnsi="仿宋" w:eastAsia="仿宋" w:cs="仿宋"/>
          <w:b/>
          <w:bCs/>
          <w:sz w:val="28"/>
          <w:szCs w:val="28"/>
        </w:rPr>
        <w:t>竣工验收调查工作内容</w:t>
      </w:r>
    </w:p>
    <w:p w14:paraId="2D41E22D">
      <w:pPr>
        <w:pStyle w:val="3"/>
        <w:pageBreakBefore w:val="0"/>
        <w:widowControl w:val="0"/>
        <w:kinsoku/>
        <w:wordWrap/>
        <w:overflowPunct/>
        <w:topLinePunct w:val="0"/>
        <w:autoSpaceDE/>
        <w:autoSpaceDN/>
        <w:bidi w:val="0"/>
        <w:adjustRightInd/>
        <w:snapToGrid/>
        <w:spacing w:afterLines="0"/>
        <w:textAlignment w:val="auto"/>
        <w:rPr>
          <w:rFonts w:hint="eastAsia" w:ascii="仿宋" w:hAnsi="仿宋" w:eastAsia="仿宋" w:cs="仿宋"/>
          <w:sz w:val="28"/>
          <w:szCs w:val="28"/>
        </w:rPr>
      </w:pPr>
      <w:bookmarkStart w:id="1" w:name="_Toc494538642"/>
      <w:r>
        <w:rPr>
          <w:rFonts w:hint="eastAsia" w:ascii="仿宋" w:hAnsi="仿宋" w:eastAsia="仿宋" w:cs="仿宋"/>
          <w:sz w:val="28"/>
          <w:szCs w:val="28"/>
          <w:lang w:val="en-US" w:eastAsia="zh-CN"/>
        </w:rPr>
        <w:t>1</w:t>
      </w:r>
      <w:r>
        <w:rPr>
          <w:rFonts w:hint="eastAsia" w:ascii="仿宋" w:hAnsi="仿宋" w:eastAsia="仿宋" w:cs="仿宋"/>
          <w:sz w:val="28"/>
          <w:szCs w:val="28"/>
        </w:rPr>
        <w:t>、工程建设情况</w:t>
      </w:r>
      <w:bookmarkEnd w:id="1"/>
    </w:p>
    <w:p w14:paraId="0F4B2AA7">
      <w:pPr>
        <w:pageBreakBefore w:val="0"/>
        <w:widowControl w:val="0"/>
        <w:kinsoku/>
        <w:wordWrap/>
        <w:overflowPunct/>
        <w:topLinePunct w:val="0"/>
        <w:autoSpaceDE/>
        <w:autoSpaceDN/>
        <w:bidi w:val="0"/>
        <w:adjustRightInd/>
        <w:snapToGrid/>
        <w:spacing w:afterLines="0"/>
        <w:ind w:firstLine="480"/>
        <w:textAlignment w:val="auto"/>
        <w:rPr>
          <w:rFonts w:hint="eastAsia" w:ascii="仿宋" w:hAnsi="仿宋" w:eastAsia="仿宋" w:cs="仿宋"/>
          <w:sz w:val="28"/>
          <w:szCs w:val="28"/>
        </w:rPr>
      </w:pPr>
      <w:bookmarkStart w:id="2" w:name="_Toc494538643"/>
      <w:r>
        <w:rPr>
          <w:rFonts w:hint="eastAsia" w:ascii="仿宋" w:hAnsi="仿宋" w:eastAsia="仿宋" w:cs="仿宋"/>
          <w:sz w:val="28"/>
          <w:szCs w:val="28"/>
        </w:rPr>
        <w:t>重点解决以下主要问题：</w:t>
      </w:r>
    </w:p>
    <w:p w14:paraId="4E952792">
      <w:pPr>
        <w:pageBreakBefore w:val="0"/>
        <w:widowControl w:val="0"/>
        <w:kinsoku/>
        <w:wordWrap/>
        <w:overflowPunct/>
        <w:topLinePunct w:val="0"/>
        <w:autoSpaceDE/>
        <w:autoSpaceDN/>
        <w:bidi w:val="0"/>
        <w:adjustRightInd/>
        <w:snapToGrid/>
        <w:spacing w:afterLines="0"/>
        <w:ind w:firstLine="480"/>
        <w:textAlignment w:val="auto"/>
        <w:rPr>
          <w:rFonts w:hint="eastAsia" w:ascii="仿宋" w:hAnsi="仿宋" w:eastAsia="仿宋" w:cs="仿宋"/>
          <w:sz w:val="28"/>
          <w:szCs w:val="28"/>
        </w:rPr>
      </w:pPr>
      <w:r>
        <w:rPr>
          <w:rFonts w:hint="eastAsia" w:ascii="仿宋" w:hAnsi="仿宋" w:eastAsia="仿宋" w:cs="仿宋"/>
          <w:sz w:val="28"/>
          <w:szCs w:val="28"/>
        </w:rPr>
        <w:t>1）核查建设项目建设性质、建设内容、建设规模、建设位置等基本情况；</w:t>
      </w:r>
    </w:p>
    <w:p w14:paraId="0533DDFC">
      <w:pPr>
        <w:pageBreakBefore w:val="0"/>
        <w:widowControl w:val="0"/>
        <w:kinsoku/>
        <w:wordWrap/>
        <w:overflowPunct/>
        <w:topLinePunct w:val="0"/>
        <w:autoSpaceDE/>
        <w:autoSpaceDN/>
        <w:bidi w:val="0"/>
        <w:adjustRightInd/>
        <w:snapToGrid/>
        <w:spacing w:afterLines="0"/>
        <w:ind w:firstLine="480"/>
        <w:textAlignment w:val="auto"/>
        <w:rPr>
          <w:rFonts w:hint="eastAsia" w:ascii="仿宋" w:hAnsi="仿宋" w:eastAsia="仿宋" w:cs="仿宋"/>
          <w:sz w:val="28"/>
          <w:szCs w:val="28"/>
        </w:rPr>
      </w:pPr>
      <w:r>
        <w:rPr>
          <w:rFonts w:hint="eastAsia" w:ascii="仿宋" w:hAnsi="仿宋" w:eastAsia="仿宋" w:cs="仿宋"/>
          <w:sz w:val="28"/>
          <w:szCs w:val="28"/>
        </w:rPr>
        <w:t>2）根据环评文件及批复核查环保设施建设情况；</w:t>
      </w:r>
    </w:p>
    <w:p w14:paraId="6B0C3A86">
      <w:pPr>
        <w:pageBreakBefore w:val="0"/>
        <w:widowControl w:val="0"/>
        <w:kinsoku/>
        <w:wordWrap/>
        <w:overflowPunct/>
        <w:topLinePunct w:val="0"/>
        <w:autoSpaceDE/>
        <w:autoSpaceDN/>
        <w:bidi w:val="0"/>
        <w:adjustRightInd/>
        <w:snapToGrid/>
        <w:spacing w:afterLines="0"/>
        <w:ind w:firstLine="480"/>
        <w:textAlignment w:val="auto"/>
        <w:rPr>
          <w:rFonts w:hint="eastAsia" w:ascii="仿宋" w:hAnsi="仿宋" w:eastAsia="仿宋" w:cs="仿宋"/>
          <w:sz w:val="28"/>
          <w:szCs w:val="28"/>
        </w:rPr>
      </w:pPr>
      <w:r>
        <w:rPr>
          <w:rFonts w:hint="eastAsia" w:ascii="仿宋" w:hAnsi="仿宋" w:eastAsia="仿宋" w:cs="仿宋"/>
          <w:sz w:val="28"/>
          <w:szCs w:val="28"/>
        </w:rPr>
        <w:t>3）环境敏感点调查；</w:t>
      </w:r>
    </w:p>
    <w:p w14:paraId="50742CF4">
      <w:pPr>
        <w:pageBreakBefore w:val="0"/>
        <w:widowControl w:val="0"/>
        <w:kinsoku/>
        <w:wordWrap/>
        <w:overflowPunct/>
        <w:topLinePunct w:val="0"/>
        <w:autoSpaceDE/>
        <w:autoSpaceDN/>
        <w:bidi w:val="0"/>
        <w:adjustRightInd/>
        <w:snapToGrid/>
        <w:spacing w:afterLines="0"/>
        <w:ind w:firstLine="480"/>
        <w:textAlignment w:val="auto"/>
        <w:rPr>
          <w:rFonts w:hint="eastAsia" w:ascii="仿宋" w:hAnsi="仿宋" w:eastAsia="仿宋" w:cs="仿宋"/>
          <w:sz w:val="28"/>
          <w:szCs w:val="28"/>
          <w:lang w:val="en-US" w:eastAsia="zh-CN"/>
        </w:rPr>
      </w:pPr>
      <w:r>
        <w:rPr>
          <w:rFonts w:hint="eastAsia" w:ascii="仿宋" w:hAnsi="仿宋" w:eastAsia="仿宋" w:cs="仿宋"/>
          <w:sz w:val="28"/>
          <w:szCs w:val="28"/>
        </w:rPr>
        <w:t>4）</w:t>
      </w:r>
      <w:r>
        <w:rPr>
          <w:rFonts w:hint="eastAsia" w:ascii="仿宋" w:hAnsi="仿宋" w:eastAsia="仿宋" w:cs="仿宋"/>
          <w:sz w:val="28"/>
          <w:szCs w:val="28"/>
          <w:lang w:val="en-US" w:eastAsia="zh-CN"/>
        </w:rPr>
        <w:t>编制环境风险应急预案、编制安全生产应急预案</w:t>
      </w:r>
    </w:p>
    <w:p w14:paraId="12EAA463">
      <w:pPr>
        <w:pageBreakBefore w:val="0"/>
        <w:widowControl w:val="0"/>
        <w:kinsoku/>
        <w:wordWrap/>
        <w:overflowPunct/>
        <w:topLinePunct w:val="0"/>
        <w:autoSpaceDE/>
        <w:autoSpaceDN/>
        <w:bidi w:val="0"/>
        <w:adjustRightInd/>
        <w:snapToGrid/>
        <w:spacing w:afterLines="0"/>
        <w:ind w:firstLine="480"/>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5</w:t>
      </w:r>
      <w:r>
        <w:rPr>
          <w:rFonts w:hint="eastAsia" w:ascii="仿宋" w:hAnsi="仿宋" w:eastAsia="仿宋" w:cs="仿宋"/>
          <w:sz w:val="28"/>
          <w:szCs w:val="28"/>
        </w:rPr>
        <w:t>）</w:t>
      </w:r>
      <w:r>
        <w:rPr>
          <w:rFonts w:hint="eastAsia" w:ascii="仿宋" w:hAnsi="仿宋" w:eastAsia="仿宋" w:cs="仿宋"/>
          <w:sz w:val="28"/>
          <w:szCs w:val="28"/>
          <w:lang w:val="en-US" w:eastAsia="zh-CN"/>
        </w:rPr>
        <w:t>更正国家排污许可证法人代表</w:t>
      </w:r>
    </w:p>
    <w:p w14:paraId="4B1BE4BF">
      <w:pPr>
        <w:pStyle w:val="3"/>
        <w:pageBreakBefore w:val="0"/>
        <w:widowControl w:val="0"/>
        <w:kinsoku/>
        <w:wordWrap/>
        <w:overflowPunct/>
        <w:topLinePunct w:val="0"/>
        <w:autoSpaceDE/>
        <w:autoSpaceDN/>
        <w:bidi w:val="0"/>
        <w:adjustRightInd/>
        <w:snapToGrid/>
        <w:spacing w:afterLines="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2</w:t>
      </w:r>
      <w:r>
        <w:rPr>
          <w:rFonts w:hint="eastAsia" w:ascii="仿宋" w:hAnsi="仿宋" w:eastAsia="仿宋" w:cs="仿宋"/>
          <w:sz w:val="28"/>
          <w:szCs w:val="28"/>
        </w:rPr>
        <w:t>、环境保护措施落实情况</w:t>
      </w:r>
      <w:bookmarkEnd w:id="2"/>
    </w:p>
    <w:p w14:paraId="2D607B22">
      <w:pPr>
        <w:pageBreakBefore w:val="0"/>
        <w:widowControl w:val="0"/>
        <w:kinsoku/>
        <w:wordWrap/>
        <w:overflowPunct/>
        <w:topLinePunct w:val="0"/>
        <w:autoSpaceDE/>
        <w:autoSpaceDN/>
        <w:bidi w:val="0"/>
        <w:adjustRightInd/>
        <w:snapToGrid/>
        <w:spacing w:afterLines="0"/>
        <w:ind w:firstLine="480"/>
        <w:textAlignment w:val="auto"/>
        <w:rPr>
          <w:rFonts w:hint="eastAsia" w:ascii="仿宋" w:hAnsi="仿宋" w:eastAsia="仿宋" w:cs="仿宋"/>
          <w:sz w:val="28"/>
          <w:szCs w:val="28"/>
        </w:rPr>
      </w:pPr>
      <w:r>
        <w:rPr>
          <w:rFonts w:hint="eastAsia" w:ascii="仿宋" w:hAnsi="仿宋" w:eastAsia="仿宋" w:cs="仿宋"/>
          <w:sz w:val="28"/>
          <w:szCs w:val="28"/>
        </w:rPr>
        <w:t>1）废水处理设施落实情况调查；</w:t>
      </w:r>
    </w:p>
    <w:p w14:paraId="344D3C09">
      <w:pPr>
        <w:pageBreakBefore w:val="0"/>
        <w:widowControl w:val="0"/>
        <w:kinsoku/>
        <w:wordWrap/>
        <w:overflowPunct/>
        <w:topLinePunct w:val="0"/>
        <w:autoSpaceDE/>
        <w:autoSpaceDN/>
        <w:bidi w:val="0"/>
        <w:adjustRightInd/>
        <w:snapToGrid/>
        <w:spacing w:afterLines="0"/>
        <w:ind w:firstLine="480"/>
        <w:textAlignment w:val="auto"/>
        <w:rPr>
          <w:rFonts w:hint="eastAsia" w:ascii="仿宋" w:hAnsi="仿宋" w:eastAsia="仿宋" w:cs="仿宋"/>
          <w:sz w:val="28"/>
          <w:szCs w:val="28"/>
        </w:rPr>
      </w:pPr>
      <w:r>
        <w:rPr>
          <w:rFonts w:hint="eastAsia" w:ascii="仿宋" w:hAnsi="仿宋" w:eastAsia="仿宋" w:cs="仿宋"/>
          <w:sz w:val="28"/>
          <w:szCs w:val="28"/>
        </w:rPr>
        <w:t>2）废气配套处理设施落实情况调查；</w:t>
      </w:r>
    </w:p>
    <w:p w14:paraId="6C4CF057">
      <w:pPr>
        <w:pageBreakBefore w:val="0"/>
        <w:widowControl w:val="0"/>
        <w:kinsoku/>
        <w:wordWrap/>
        <w:overflowPunct/>
        <w:topLinePunct w:val="0"/>
        <w:autoSpaceDE/>
        <w:autoSpaceDN/>
        <w:bidi w:val="0"/>
        <w:adjustRightInd/>
        <w:snapToGrid/>
        <w:spacing w:afterLines="0"/>
        <w:ind w:firstLine="480"/>
        <w:textAlignment w:val="auto"/>
        <w:rPr>
          <w:rFonts w:hint="eastAsia" w:ascii="仿宋" w:hAnsi="仿宋" w:eastAsia="仿宋" w:cs="仿宋"/>
          <w:sz w:val="28"/>
          <w:szCs w:val="28"/>
        </w:rPr>
      </w:pPr>
      <w:r>
        <w:rPr>
          <w:rFonts w:hint="eastAsia" w:ascii="仿宋" w:hAnsi="仿宋" w:eastAsia="仿宋" w:cs="仿宋"/>
          <w:sz w:val="28"/>
          <w:szCs w:val="28"/>
        </w:rPr>
        <w:t>3）噪音调查；</w:t>
      </w:r>
    </w:p>
    <w:p w14:paraId="13798492">
      <w:pPr>
        <w:pageBreakBefore w:val="0"/>
        <w:widowControl w:val="0"/>
        <w:kinsoku/>
        <w:wordWrap/>
        <w:overflowPunct/>
        <w:topLinePunct w:val="0"/>
        <w:autoSpaceDE/>
        <w:autoSpaceDN/>
        <w:bidi w:val="0"/>
        <w:adjustRightInd/>
        <w:snapToGrid/>
        <w:spacing w:afterLines="0"/>
        <w:ind w:firstLine="480"/>
        <w:textAlignment w:val="auto"/>
        <w:rPr>
          <w:rFonts w:hint="eastAsia" w:ascii="仿宋" w:hAnsi="仿宋" w:eastAsia="仿宋" w:cs="仿宋"/>
          <w:sz w:val="28"/>
          <w:szCs w:val="28"/>
        </w:rPr>
      </w:pPr>
      <w:r>
        <w:rPr>
          <w:rFonts w:hint="eastAsia" w:ascii="仿宋" w:hAnsi="仿宋" w:eastAsia="仿宋" w:cs="仿宋"/>
          <w:sz w:val="28"/>
          <w:szCs w:val="28"/>
        </w:rPr>
        <w:t>4）固体废物处理情况调查（一般固废及危废）；</w:t>
      </w:r>
    </w:p>
    <w:p w14:paraId="3EBEE59C">
      <w:pPr>
        <w:pageBreakBefore w:val="0"/>
        <w:widowControl w:val="0"/>
        <w:kinsoku/>
        <w:wordWrap/>
        <w:overflowPunct/>
        <w:topLinePunct w:val="0"/>
        <w:autoSpaceDE/>
        <w:autoSpaceDN/>
        <w:bidi w:val="0"/>
        <w:adjustRightInd/>
        <w:snapToGrid/>
        <w:spacing w:afterLines="0"/>
        <w:ind w:firstLine="48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5</w:t>
      </w:r>
      <w:r>
        <w:rPr>
          <w:rFonts w:hint="eastAsia" w:ascii="仿宋" w:hAnsi="仿宋" w:eastAsia="仿宋" w:cs="仿宋"/>
          <w:sz w:val="28"/>
          <w:szCs w:val="28"/>
        </w:rPr>
        <w:t>）环境风险评价；</w:t>
      </w:r>
    </w:p>
    <w:p w14:paraId="397E65EE">
      <w:pPr>
        <w:pageBreakBefore w:val="0"/>
        <w:widowControl w:val="0"/>
        <w:kinsoku/>
        <w:wordWrap/>
        <w:overflowPunct/>
        <w:topLinePunct w:val="0"/>
        <w:autoSpaceDE/>
        <w:autoSpaceDN/>
        <w:bidi w:val="0"/>
        <w:adjustRightInd/>
        <w:snapToGrid/>
        <w:spacing w:afterLines="0"/>
        <w:ind w:firstLine="48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6</w:t>
      </w:r>
      <w:r>
        <w:rPr>
          <w:rFonts w:hint="eastAsia" w:ascii="仿宋" w:hAnsi="仿宋" w:eastAsia="仿宋" w:cs="仿宋"/>
          <w:sz w:val="28"/>
          <w:szCs w:val="28"/>
        </w:rPr>
        <w:t>）污染物排放总量控制；</w:t>
      </w:r>
    </w:p>
    <w:p w14:paraId="56EA701C">
      <w:pPr>
        <w:pageBreakBefore w:val="0"/>
        <w:widowControl w:val="0"/>
        <w:kinsoku/>
        <w:wordWrap/>
        <w:overflowPunct/>
        <w:topLinePunct w:val="0"/>
        <w:autoSpaceDE/>
        <w:autoSpaceDN/>
        <w:bidi w:val="0"/>
        <w:adjustRightInd/>
        <w:snapToGrid/>
        <w:spacing w:afterLines="0"/>
        <w:ind w:firstLine="48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7）应急设施设备落实情况调查；</w:t>
      </w:r>
    </w:p>
    <w:p w14:paraId="04677C55">
      <w:pPr>
        <w:pStyle w:val="3"/>
        <w:pageBreakBefore w:val="0"/>
        <w:widowControl w:val="0"/>
        <w:kinsoku/>
        <w:wordWrap/>
        <w:overflowPunct/>
        <w:topLinePunct w:val="0"/>
        <w:autoSpaceDE/>
        <w:autoSpaceDN/>
        <w:bidi w:val="0"/>
        <w:adjustRightInd/>
        <w:snapToGrid/>
        <w:spacing w:afterLines="0"/>
        <w:textAlignment w:val="auto"/>
        <w:rPr>
          <w:rFonts w:hint="eastAsia" w:ascii="仿宋" w:hAnsi="仿宋" w:eastAsia="仿宋" w:cs="仿宋"/>
          <w:sz w:val="28"/>
          <w:szCs w:val="28"/>
          <w:lang w:val="en-US" w:eastAsia="zh-CN"/>
        </w:rPr>
      </w:pPr>
    </w:p>
    <w:p w14:paraId="5CB42F2E">
      <w:pPr>
        <w:rPr>
          <w:rFonts w:hint="eastAsia"/>
          <w:lang w:val="en-US" w:eastAsia="zh-CN"/>
        </w:rPr>
      </w:pPr>
    </w:p>
    <w:p w14:paraId="27908A59">
      <w:pPr>
        <w:pStyle w:val="3"/>
        <w:pageBreakBefore w:val="0"/>
        <w:widowControl w:val="0"/>
        <w:kinsoku/>
        <w:wordWrap/>
        <w:overflowPunct/>
        <w:topLinePunct w:val="0"/>
        <w:autoSpaceDE/>
        <w:autoSpaceDN/>
        <w:bidi w:val="0"/>
        <w:adjustRightInd/>
        <w:snapToGrid/>
        <w:spacing w:afterLines="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3</w:t>
      </w:r>
      <w:r>
        <w:rPr>
          <w:rFonts w:hint="eastAsia" w:ascii="仿宋" w:hAnsi="仿宋" w:eastAsia="仿宋" w:cs="仿宋"/>
          <w:sz w:val="28"/>
          <w:szCs w:val="28"/>
        </w:rPr>
        <w:t>、 环境评价的法律、法规依据</w:t>
      </w:r>
    </w:p>
    <w:p w14:paraId="1F404AFC">
      <w:pPr>
        <w:pageBreakBefore w:val="0"/>
        <w:widowControl w:val="0"/>
        <w:kinsoku/>
        <w:wordWrap/>
        <w:overflowPunct/>
        <w:topLinePunct w:val="0"/>
        <w:autoSpaceDE/>
        <w:autoSpaceDN/>
        <w:bidi w:val="0"/>
        <w:adjustRightInd/>
        <w:snapToGrid/>
        <w:spacing w:afterLines="0"/>
        <w:ind w:firstLine="480"/>
        <w:textAlignment w:val="auto"/>
        <w:rPr>
          <w:rFonts w:hint="eastAsia" w:ascii="仿宋" w:hAnsi="仿宋" w:eastAsia="仿宋" w:cs="仿宋"/>
          <w:sz w:val="28"/>
          <w:szCs w:val="28"/>
        </w:rPr>
      </w:pPr>
      <w:r>
        <w:rPr>
          <w:rFonts w:hint="eastAsia" w:ascii="仿宋" w:hAnsi="仿宋" w:eastAsia="仿宋" w:cs="仿宋"/>
          <w:sz w:val="28"/>
          <w:szCs w:val="28"/>
        </w:rPr>
        <w:t>本项目环境评估所</w:t>
      </w:r>
      <w:r>
        <w:rPr>
          <w:rFonts w:hint="eastAsia" w:ascii="仿宋" w:hAnsi="仿宋" w:eastAsia="仿宋" w:cs="仿宋"/>
          <w:sz w:val="28"/>
          <w:szCs w:val="28"/>
          <w:lang w:val="en-US" w:eastAsia="zh-CN"/>
        </w:rPr>
        <w:t>需</w:t>
      </w:r>
      <w:r>
        <w:rPr>
          <w:rFonts w:hint="eastAsia" w:ascii="仿宋" w:hAnsi="仿宋" w:eastAsia="仿宋" w:cs="仿宋"/>
          <w:sz w:val="28"/>
          <w:szCs w:val="28"/>
        </w:rPr>
        <w:t>依据的法律、法规主要包括国家制订颁布的执行的相对应的法律、法规，如下表：</w:t>
      </w:r>
    </w:p>
    <w:tbl>
      <w:tblPr>
        <w:tblStyle w:val="7"/>
        <w:tblW w:w="0" w:type="auto"/>
        <w:tblInd w:w="-3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7925"/>
      </w:tblGrid>
      <w:tr w14:paraId="2A67C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735" w:type="dxa"/>
            <w:noWrap w:val="0"/>
            <w:vAlign w:val="center"/>
          </w:tcPr>
          <w:p w14:paraId="35E6846D">
            <w:pPr>
              <w:spacing w:afterLines="0" w:line="360" w:lineRule="auto"/>
              <w:jc w:val="center"/>
              <w:rPr>
                <w:rFonts w:hint="eastAsia" w:ascii="仿宋" w:hAnsi="仿宋" w:eastAsia="仿宋" w:cs="仿宋"/>
                <w:b/>
                <w:bCs/>
                <w:sz w:val="24"/>
                <w:szCs w:val="24"/>
              </w:rPr>
            </w:pPr>
            <w:r>
              <w:rPr>
                <w:rFonts w:hint="eastAsia" w:ascii="仿宋" w:hAnsi="仿宋" w:eastAsia="仿宋" w:cs="仿宋"/>
                <w:b/>
                <w:bCs/>
                <w:sz w:val="24"/>
                <w:szCs w:val="24"/>
              </w:rPr>
              <w:t>序号</w:t>
            </w:r>
          </w:p>
        </w:tc>
        <w:tc>
          <w:tcPr>
            <w:tcW w:w="7925" w:type="dxa"/>
            <w:noWrap w:val="0"/>
            <w:vAlign w:val="center"/>
          </w:tcPr>
          <w:p w14:paraId="5B13A429">
            <w:pPr>
              <w:spacing w:afterLines="0" w:line="360" w:lineRule="auto"/>
              <w:jc w:val="center"/>
              <w:rPr>
                <w:rFonts w:hint="eastAsia" w:ascii="仿宋" w:hAnsi="仿宋" w:eastAsia="仿宋" w:cs="仿宋"/>
                <w:b/>
                <w:bCs/>
                <w:sz w:val="24"/>
                <w:szCs w:val="24"/>
              </w:rPr>
            </w:pPr>
            <w:r>
              <w:rPr>
                <w:rFonts w:hint="eastAsia" w:ascii="仿宋" w:hAnsi="仿宋" w:eastAsia="仿宋" w:cs="仿宋"/>
                <w:b/>
                <w:bCs/>
                <w:sz w:val="24"/>
                <w:szCs w:val="24"/>
              </w:rPr>
              <w:t>法律、法规名称</w:t>
            </w:r>
          </w:p>
        </w:tc>
      </w:tr>
      <w:tr w14:paraId="634B47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735" w:type="dxa"/>
            <w:noWrap w:val="0"/>
            <w:vAlign w:val="center"/>
          </w:tcPr>
          <w:p w14:paraId="3F6CF613">
            <w:pPr>
              <w:spacing w:afterLines="0" w:line="360" w:lineRule="auto"/>
              <w:rPr>
                <w:rFonts w:hint="eastAsia" w:ascii="仿宋" w:hAnsi="仿宋" w:eastAsia="仿宋" w:cs="仿宋"/>
                <w:sz w:val="24"/>
                <w:szCs w:val="24"/>
              </w:rPr>
            </w:pPr>
            <w:r>
              <w:rPr>
                <w:rFonts w:hint="eastAsia" w:ascii="仿宋" w:hAnsi="仿宋" w:eastAsia="仿宋" w:cs="仿宋"/>
                <w:sz w:val="24"/>
                <w:szCs w:val="24"/>
              </w:rPr>
              <w:t>1）</w:t>
            </w:r>
          </w:p>
        </w:tc>
        <w:tc>
          <w:tcPr>
            <w:tcW w:w="7925" w:type="dxa"/>
            <w:noWrap w:val="0"/>
            <w:vAlign w:val="center"/>
          </w:tcPr>
          <w:p w14:paraId="1E92BC6A">
            <w:pPr>
              <w:spacing w:afterLines="0" w:line="360" w:lineRule="auto"/>
              <w:rPr>
                <w:rFonts w:hint="eastAsia" w:ascii="仿宋" w:hAnsi="仿宋" w:eastAsia="仿宋" w:cs="仿宋"/>
                <w:sz w:val="24"/>
                <w:szCs w:val="24"/>
              </w:rPr>
            </w:pPr>
            <w:r>
              <w:rPr>
                <w:rFonts w:hint="eastAsia" w:ascii="仿宋" w:hAnsi="仿宋" w:eastAsia="仿宋" w:cs="仿宋"/>
                <w:sz w:val="24"/>
                <w:szCs w:val="24"/>
              </w:rPr>
              <w:t>《中华人民共和国环境保护法》（2014年4月）；</w:t>
            </w:r>
          </w:p>
        </w:tc>
      </w:tr>
      <w:tr w14:paraId="5D4EC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735" w:type="dxa"/>
            <w:noWrap w:val="0"/>
            <w:vAlign w:val="center"/>
          </w:tcPr>
          <w:p w14:paraId="7C17B73E">
            <w:pPr>
              <w:spacing w:afterLines="0" w:line="360" w:lineRule="auto"/>
              <w:rPr>
                <w:rFonts w:hint="eastAsia" w:ascii="仿宋" w:hAnsi="仿宋" w:eastAsia="仿宋" w:cs="仿宋"/>
                <w:sz w:val="24"/>
                <w:szCs w:val="24"/>
              </w:rPr>
            </w:pPr>
            <w:r>
              <w:rPr>
                <w:rFonts w:hint="eastAsia" w:ascii="仿宋" w:hAnsi="仿宋" w:eastAsia="仿宋" w:cs="仿宋"/>
                <w:sz w:val="24"/>
                <w:szCs w:val="24"/>
              </w:rPr>
              <w:t>2）</w:t>
            </w:r>
          </w:p>
        </w:tc>
        <w:tc>
          <w:tcPr>
            <w:tcW w:w="7925" w:type="dxa"/>
            <w:noWrap w:val="0"/>
            <w:vAlign w:val="center"/>
          </w:tcPr>
          <w:p w14:paraId="427A54BD">
            <w:pPr>
              <w:spacing w:afterLines="0" w:line="360" w:lineRule="auto"/>
              <w:rPr>
                <w:rFonts w:hint="eastAsia" w:ascii="仿宋" w:hAnsi="仿宋" w:eastAsia="仿宋" w:cs="仿宋"/>
                <w:sz w:val="24"/>
                <w:szCs w:val="24"/>
              </w:rPr>
            </w:pPr>
            <w:r>
              <w:rPr>
                <w:rFonts w:hint="eastAsia" w:ascii="仿宋" w:hAnsi="仿宋" w:eastAsia="仿宋" w:cs="仿宋"/>
                <w:sz w:val="24"/>
                <w:szCs w:val="24"/>
              </w:rPr>
              <w:t>《中华人民共和国水污染防治法》，（主席令第87号）；</w:t>
            </w:r>
          </w:p>
        </w:tc>
      </w:tr>
      <w:tr w14:paraId="233BB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735" w:type="dxa"/>
            <w:noWrap w:val="0"/>
            <w:vAlign w:val="center"/>
          </w:tcPr>
          <w:p w14:paraId="4AFD3292">
            <w:pPr>
              <w:spacing w:afterLines="0" w:line="360" w:lineRule="auto"/>
              <w:rPr>
                <w:rFonts w:hint="eastAsia" w:ascii="仿宋" w:hAnsi="仿宋" w:eastAsia="仿宋" w:cs="仿宋"/>
                <w:sz w:val="24"/>
                <w:szCs w:val="24"/>
              </w:rPr>
            </w:pPr>
            <w:r>
              <w:rPr>
                <w:rFonts w:hint="eastAsia" w:ascii="仿宋" w:hAnsi="仿宋" w:eastAsia="仿宋" w:cs="仿宋"/>
                <w:sz w:val="24"/>
                <w:szCs w:val="24"/>
              </w:rPr>
              <w:t>3）</w:t>
            </w:r>
          </w:p>
        </w:tc>
        <w:tc>
          <w:tcPr>
            <w:tcW w:w="7925" w:type="dxa"/>
            <w:noWrap w:val="0"/>
            <w:vAlign w:val="center"/>
          </w:tcPr>
          <w:p w14:paraId="4E971866">
            <w:pPr>
              <w:spacing w:afterLines="0" w:line="360" w:lineRule="auto"/>
              <w:rPr>
                <w:rFonts w:hint="eastAsia" w:ascii="仿宋" w:hAnsi="仿宋" w:eastAsia="仿宋" w:cs="仿宋"/>
                <w:sz w:val="24"/>
                <w:szCs w:val="24"/>
              </w:rPr>
            </w:pPr>
            <w:r>
              <w:rPr>
                <w:rFonts w:hint="eastAsia" w:ascii="仿宋" w:hAnsi="仿宋" w:eastAsia="仿宋" w:cs="仿宋"/>
                <w:sz w:val="24"/>
                <w:szCs w:val="24"/>
              </w:rPr>
              <w:t>《中华人民共和国大气污染防治法》，（主席令32号）；</w:t>
            </w:r>
          </w:p>
        </w:tc>
      </w:tr>
      <w:tr w14:paraId="2F979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735" w:type="dxa"/>
            <w:noWrap w:val="0"/>
            <w:vAlign w:val="center"/>
          </w:tcPr>
          <w:p w14:paraId="1502FB15">
            <w:pPr>
              <w:spacing w:afterLines="0" w:line="360" w:lineRule="auto"/>
              <w:rPr>
                <w:rFonts w:hint="eastAsia" w:ascii="仿宋" w:hAnsi="仿宋" w:eastAsia="仿宋" w:cs="仿宋"/>
                <w:sz w:val="24"/>
                <w:szCs w:val="24"/>
              </w:rPr>
            </w:pPr>
            <w:r>
              <w:rPr>
                <w:rFonts w:hint="eastAsia" w:ascii="仿宋" w:hAnsi="仿宋" w:eastAsia="仿宋" w:cs="仿宋"/>
                <w:sz w:val="24"/>
                <w:szCs w:val="24"/>
              </w:rPr>
              <w:t>4）</w:t>
            </w:r>
          </w:p>
        </w:tc>
        <w:tc>
          <w:tcPr>
            <w:tcW w:w="7925" w:type="dxa"/>
            <w:noWrap w:val="0"/>
            <w:vAlign w:val="center"/>
          </w:tcPr>
          <w:p w14:paraId="3D827F4F">
            <w:pPr>
              <w:spacing w:afterLines="0" w:line="360" w:lineRule="auto"/>
              <w:rPr>
                <w:rFonts w:hint="eastAsia" w:ascii="仿宋" w:hAnsi="仿宋" w:eastAsia="仿宋" w:cs="仿宋"/>
                <w:sz w:val="24"/>
                <w:szCs w:val="24"/>
              </w:rPr>
            </w:pPr>
            <w:r>
              <w:rPr>
                <w:rFonts w:hint="eastAsia" w:ascii="仿宋" w:hAnsi="仿宋" w:eastAsia="仿宋" w:cs="仿宋"/>
                <w:sz w:val="24"/>
                <w:szCs w:val="24"/>
              </w:rPr>
              <w:t>《中华人民共和国环境噪声污染防治法》，2000年10月；</w:t>
            </w:r>
          </w:p>
        </w:tc>
      </w:tr>
      <w:tr w14:paraId="78F62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735" w:type="dxa"/>
            <w:noWrap w:val="0"/>
            <w:vAlign w:val="center"/>
          </w:tcPr>
          <w:p w14:paraId="11A11A83">
            <w:pPr>
              <w:spacing w:afterLines="0" w:line="360" w:lineRule="auto"/>
              <w:rPr>
                <w:rFonts w:hint="eastAsia" w:ascii="仿宋" w:hAnsi="仿宋" w:eastAsia="仿宋" w:cs="仿宋"/>
                <w:sz w:val="24"/>
                <w:szCs w:val="24"/>
              </w:rPr>
            </w:pPr>
            <w:r>
              <w:rPr>
                <w:rFonts w:hint="eastAsia" w:ascii="仿宋" w:hAnsi="仿宋" w:eastAsia="仿宋" w:cs="仿宋"/>
                <w:sz w:val="24"/>
                <w:szCs w:val="24"/>
              </w:rPr>
              <w:t>5）</w:t>
            </w:r>
          </w:p>
        </w:tc>
        <w:tc>
          <w:tcPr>
            <w:tcW w:w="7925" w:type="dxa"/>
            <w:noWrap w:val="0"/>
            <w:vAlign w:val="center"/>
          </w:tcPr>
          <w:p w14:paraId="690EB518">
            <w:pPr>
              <w:spacing w:afterLines="0" w:line="360" w:lineRule="auto"/>
              <w:rPr>
                <w:rFonts w:hint="eastAsia" w:ascii="仿宋" w:hAnsi="仿宋" w:eastAsia="仿宋" w:cs="仿宋"/>
                <w:sz w:val="24"/>
                <w:szCs w:val="24"/>
              </w:rPr>
            </w:pPr>
            <w:r>
              <w:rPr>
                <w:rFonts w:hint="eastAsia" w:ascii="仿宋" w:hAnsi="仿宋" w:eastAsia="仿宋" w:cs="仿宋"/>
                <w:sz w:val="24"/>
                <w:szCs w:val="24"/>
              </w:rPr>
              <w:t>《中华人民共和国固体废弃物污染环境防治法》，（2</w:t>
            </w:r>
            <w:r>
              <w:rPr>
                <w:rFonts w:hint="eastAsia" w:ascii="仿宋" w:hAnsi="仿宋" w:eastAsia="仿宋" w:cs="仿宋"/>
                <w:sz w:val="24"/>
                <w:szCs w:val="24"/>
                <w:lang w:val="en-US" w:eastAsia="zh-CN"/>
              </w:rPr>
              <w:t>020</w:t>
            </w:r>
            <w:r>
              <w:rPr>
                <w:rFonts w:hint="eastAsia" w:ascii="仿宋" w:hAnsi="仿宋" w:eastAsia="仿宋" w:cs="仿宋"/>
                <w:sz w:val="24"/>
                <w:szCs w:val="24"/>
              </w:rPr>
              <w:t>年</w:t>
            </w:r>
            <w:r>
              <w:rPr>
                <w:rFonts w:hint="eastAsia" w:ascii="仿宋" w:hAnsi="仿宋" w:eastAsia="仿宋" w:cs="仿宋"/>
                <w:sz w:val="24"/>
                <w:szCs w:val="24"/>
                <w:lang w:val="en-US" w:eastAsia="zh-CN"/>
              </w:rPr>
              <w:t>9</w:t>
            </w:r>
            <w:r>
              <w:rPr>
                <w:rFonts w:hint="eastAsia" w:ascii="仿宋" w:hAnsi="仿宋" w:eastAsia="仿宋" w:cs="仿宋"/>
                <w:sz w:val="24"/>
                <w:szCs w:val="24"/>
              </w:rPr>
              <w:t>月）；</w:t>
            </w:r>
          </w:p>
        </w:tc>
      </w:tr>
      <w:tr w14:paraId="31AA9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735" w:type="dxa"/>
            <w:noWrap w:val="0"/>
            <w:vAlign w:val="center"/>
          </w:tcPr>
          <w:p w14:paraId="18E0DE86">
            <w:pPr>
              <w:spacing w:afterLines="0" w:line="360" w:lineRule="auto"/>
              <w:rPr>
                <w:rFonts w:hint="eastAsia" w:ascii="仿宋" w:hAnsi="仿宋" w:eastAsia="仿宋" w:cs="仿宋"/>
                <w:sz w:val="24"/>
                <w:szCs w:val="24"/>
              </w:rPr>
            </w:pPr>
            <w:r>
              <w:rPr>
                <w:rFonts w:hint="eastAsia" w:ascii="仿宋" w:hAnsi="仿宋" w:eastAsia="仿宋" w:cs="仿宋"/>
                <w:sz w:val="24"/>
                <w:szCs w:val="24"/>
              </w:rPr>
              <w:t>6）</w:t>
            </w:r>
          </w:p>
        </w:tc>
        <w:tc>
          <w:tcPr>
            <w:tcW w:w="7925" w:type="dxa"/>
            <w:noWrap w:val="0"/>
            <w:vAlign w:val="center"/>
          </w:tcPr>
          <w:p w14:paraId="621BCD2D">
            <w:pPr>
              <w:spacing w:afterLines="0" w:line="360" w:lineRule="auto"/>
              <w:rPr>
                <w:rFonts w:hint="eastAsia" w:ascii="仿宋" w:hAnsi="仿宋" w:eastAsia="仿宋" w:cs="仿宋"/>
                <w:sz w:val="24"/>
                <w:szCs w:val="24"/>
              </w:rPr>
            </w:pPr>
            <w:r>
              <w:rPr>
                <w:rFonts w:hint="eastAsia" w:ascii="仿宋" w:hAnsi="仿宋" w:eastAsia="仿宋" w:cs="仿宋"/>
                <w:sz w:val="24"/>
                <w:szCs w:val="24"/>
              </w:rPr>
              <w:t>《中华人民共和国环境影响评价法》，2016年7月修订；</w:t>
            </w:r>
          </w:p>
        </w:tc>
      </w:tr>
      <w:tr w14:paraId="010D7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735" w:type="dxa"/>
            <w:noWrap w:val="0"/>
            <w:vAlign w:val="center"/>
          </w:tcPr>
          <w:p w14:paraId="26649D24">
            <w:pPr>
              <w:spacing w:afterLines="0" w:line="360" w:lineRule="auto"/>
              <w:rPr>
                <w:rFonts w:hint="eastAsia" w:ascii="仿宋" w:hAnsi="仿宋" w:eastAsia="仿宋" w:cs="仿宋"/>
                <w:sz w:val="24"/>
                <w:szCs w:val="24"/>
              </w:rPr>
            </w:pPr>
            <w:r>
              <w:rPr>
                <w:rFonts w:hint="eastAsia" w:ascii="仿宋" w:hAnsi="仿宋" w:eastAsia="仿宋" w:cs="仿宋"/>
                <w:sz w:val="24"/>
                <w:szCs w:val="24"/>
              </w:rPr>
              <w:t>7）</w:t>
            </w:r>
          </w:p>
        </w:tc>
        <w:tc>
          <w:tcPr>
            <w:tcW w:w="7925" w:type="dxa"/>
            <w:noWrap w:val="0"/>
            <w:vAlign w:val="center"/>
          </w:tcPr>
          <w:p w14:paraId="5AAF6003">
            <w:pPr>
              <w:spacing w:afterLines="0" w:line="360" w:lineRule="auto"/>
              <w:rPr>
                <w:rFonts w:hint="eastAsia" w:ascii="仿宋" w:hAnsi="仿宋" w:eastAsia="仿宋" w:cs="仿宋"/>
                <w:sz w:val="24"/>
                <w:szCs w:val="24"/>
              </w:rPr>
            </w:pPr>
            <w:r>
              <w:rPr>
                <w:rFonts w:hint="eastAsia" w:ascii="仿宋" w:hAnsi="仿宋" w:eastAsia="仿宋" w:cs="仿宋"/>
                <w:sz w:val="24"/>
                <w:szCs w:val="24"/>
              </w:rPr>
              <w:t>《中华人民共和国清洁生产促进法》，2002年6月；</w:t>
            </w:r>
          </w:p>
        </w:tc>
      </w:tr>
      <w:tr w14:paraId="762E1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735" w:type="dxa"/>
            <w:noWrap w:val="0"/>
            <w:vAlign w:val="center"/>
          </w:tcPr>
          <w:p w14:paraId="3F2A7647">
            <w:pPr>
              <w:spacing w:afterLines="0" w:line="360" w:lineRule="auto"/>
              <w:rPr>
                <w:rFonts w:hint="eastAsia" w:ascii="仿宋" w:hAnsi="仿宋" w:eastAsia="仿宋" w:cs="仿宋"/>
                <w:sz w:val="24"/>
                <w:szCs w:val="24"/>
              </w:rPr>
            </w:pPr>
            <w:r>
              <w:rPr>
                <w:rFonts w:hint="eastAsia" w:ascii="仿宋" w:hAnsi="仿宋" w:eastAsia="仿宋" w:cs="仿宋"/>
                <w:sz w:val="24"/>
                <w:szCs w:val="24"/>
              </w:rPr>
              <w:t>8）</w:t>
            </w:r>
          </w:p>
        </w:tc>
        <w:tc>
          <w:tcPr>
            <w:tcW w:w="7925" w:type="dxa"/>
            <w:noWrap w:val="0"/>
            <w:vAlign w:val="center"/>
          </w:tcPr>
          <w:p w14:paraId="14A0A971">
            <w:pPr>
              <w:spacing w:afterLines="0" w:line="360" w:lineRule="auto"/>
              <w:rPr>
                <w:rFonts w:hint="eastAsia" w:ascii="仿宋" w:hAnsi="仿宋" w:eastAsia="仿宋" w:cs="仿宋"/>
                <w:sz w:val="24"/>
                <w:szCs w:val="24"/>
              </w:rPr>
            </w:pPr>
            <w:r>
              <w:rPr>
                <w:rFonts w:hint="eastAsia" w:ascii="仿宋" w:hAnsi="仿宋" w:eastAsia="仿宋" w:cs="仿宋"/>
                <w:sz w:val="24"/>
                <w:szCs w:val="24"/>
              </w:rPr>
              <w:t>《建设项目环境保护管理条例》国务院第682号令（2017）；</w:t>
            </w:r>
          </w:p>
        </w:tc>
      </w:tr>
      <w:tr w14:paraId="7F8C1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735" w:type="dxa"/>
            <w:noWrap w:val="0"/>
            <w:vAlign w:val="center"/>
          </w:tcPr>
          <w:p w14:paraId="3E76B2AE">
            <w:pPr>
              <w:spacing w:afterLines="0" w:line="360" w:lineRule="auto"/>
              <w:rPr>
                <w:rFonts w:hint="eastAsia" w:ascii="仿宋" w:hAnsi="仿宋" w:eastAsia="仿宋" w:cs="仿宋"/>
                <w:sz w:val="24"/>
                <w:szCs w:val="24"/>
              </w:rPr>
            </w:pPr>
            <w:r>
              <w:rPr>
                <w:rFonts w:hint="eastAsia" w:ascii="仿宋" w:hAnsi="仿宋" w:eastAsia="仿宋" w:cs="仿宋"/>
                <w:sz w:val="24"/>
                <w:szCs w:val="24"/>
              </w:rPr>
              <w:t>9）</w:t>
            </w:r>
          </w:p>
        </w:tc>
        <w:tc>
          <w:tcPr>
            <w:tcW w:w="7925" w:type="dxa"/>
            <w:tcBorders>
              <w:bottom w:val="single" w:color="auto" w:sz="4" w:space="0"/>
            </w:tcBorders>
            <w:noWrap w:val="0"/>
            <w:vAlign w:val="center"/>
          </w:tcPr>
          <w:p w14:paraId="567FBCB8">
            <w:pPr>
              <w:spacing w:afterLines="0" w:line="360" w:lineRule="auto"/>
              <w:rPr>
                <w:rFonts w:hint="eastAsia" w:ascii="仿宋" w:hAnsi="仿宋" w:eastAsia="仿宋" w:cs="仿宋"/>
                <w:sz w:val="24"/>
                <w:szCs w:val="24"/>
              </w:rPr>
            </w:pPr>
            <w:r>
              <w:rPr>
                <w:rFonts w:hint="eastAsia" w:ascii="仿宋" w:hAnsi="仿宋" w:eastAsia="仿宋" w:cs="仿宋"/>
                <w:sz w:val="24"/>
                <w:szCs w:val="24"/>
              </w:rPr>
              <w:t>《建设项目环境保护分类管理名录》，2</w:t>
            </w:r>
            <w:r>
              <w:rPr>
                <w:rFonts w:hint="eastAsia" w:ascii="仿宋" w:hAnsi="仿宋" w:eastAsia="仿宋" w:cs="仿宋"/>
                <w:sz w:val="24"/>
                <w:szCs w:val="24"/>
                <w:lang w:val="en-US" w:eastAsia="zh-CN"/>
              </w:rPr>
              <w:t>020</w:t>
            </w:r>
            <w:r>
              <w:rPr>
                <w:rFonts w:hint="eastAsia" w:ascii="仿宋" w:hAnsi="仿宋" w:eastAsia="仿宋" w:cs="仿宋"/>
                <w:sz w:val="24"/>
                <w:szCs w:val="24"/>
              </w:rPr>
              <w:t>年</w:t>
            </w:r>
            <w:r>
              <w:rPr>
                <w:rFonts w:hint="eastAsia" w:ascii="仿宋" w:hAnsi="仿宋" w:eastAsia="仿宋" w:cs="仿宋"/>
                <w:sz w:val="24"/>
                <w:szCs w:val="24"/>
                <w:lang w:val="en-US" w:eastAsia="zh-CN"/>
              </w:rPr>
              <w:t>12</w:t>
            </w:r>
            <w:r>
              <w:rPr>
                <w:rFonts w:hint="eastAsia" w:ascii="仿宋" w:hAnsi="仿宋" w:eastAsia="仿宋" w:cs="仿宋"/>
                <w:sz w:val="24"/>
                <w:szCs w:val="24"/>
              </w:rPr>
              <w:t>月；</w:t>
            </w:r>
          </w:p>
        </w:tc>
      </w:tr>
      <w:tr w14:paraId="1109D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9" w:hRule="atLeast"/>
        </w:trPr>
        <w:tc>
          <w:tcPr>
            <w:tcW w:w="735" w:type="dxa"/>
            <w:tcBorders>
              <w:bottom w:val="single" w:color="auto" w:sz="4" w:space="0"/>
            </w:tcBorders>
            <w:noWrap w:val="0"/>
            <w:vAlign w:val="center"/>
          </w:tcPr>
          <w:p w14:paraId="414772BF">
            <w:pPr>
              <w:spacing w:afterLines="0" w:line="360" w:lineRule="auto"/>
              <w:rPr>
                <w:rFonts w:hint="eastAsia" w:ascii="仿宋" w:hAnsi="仿宋" w:eastAsia="仿宋" w:cs="仿宋"/>
                <w:sz w:val="24"/>
                <w:szCs w:val="24"/>
              </w:rPr>
            </w:pPr>
            <w:r>
              <w:rPr>
                <w:rFonts w:hint="eastAsia" w:ascii="仿宋" w:hAnsi="仿宋" w:eastAsia="仿宋" w:cs="仿宋"/>
                <w:sz w:val="24"/>
                <w:szCs w:val="24"/>
              </w:rPr>
              <w:t>12）</w:t>
            </w:r>
          </w:p>
        </w:tc>
        <w:tc>
          <w:tcPr>
            <w:tcW w:w="7925" w:type="dxa"/>
            <w:tcBorders>
              <w:bottom w:val="single" w:color="auto" w:sz="4" w:space="0"/>
            </w:tcBorders>
            <w:noWrap w:val="0"/>
            <w:vAlign w:val="center"/>
          </w:tcPr>
          <w:p w14:paraId="7338B52E">
            <w:pPr>
              <w:spacing w:afterLines="0" w:line="360" w:lineRule="auto"/>
              <w:rPr>
                <w:rFonts w:hint="eastAsia" w:ascii="仿宋" w:hAnsi="仿宋" w:eastAsia="仿宋" w:cs="仿宋"/>
                <w:sz w:val="24"/>
                <w:szCs w:val="24"/>
              </w:rPr>
            </w:pPr>
            <w:r>
              <w:rPr>
                <w:rFonts w:hint="eastAsia" w:ascii="仿宋" w:hAnsi="仿宋" w:eastAsia="仿宋" w:cs="仿宋"/>
                <w:sz w:val="24"/>
                <w:szCs w:val="24"/>
              </w:rPr>
              <w:t>《关于规范建设单位自主开展建设项目竣工环境保护验收的通知》环办环评函2017第1235号</w:t>
            </w:r>
          </w:p>
        </w:tc>
      </w:tr>
      <w:tr w14:paraId="48A26A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9" w:hRule="atLeast"/>
        </w:trPr>
        <w:tc>
          <w:tcPr>
            <w:tcW w:w="735" w:type="dxa"/>
            <w:noWrap w:val="0"/>
            <w:vAlign w:val="center"/>
          </w:tcPr>
          <w:p w14:paraId="0D03FCDE">
            <w:pPr>
              <w:spacing w:afterLines="0" w:line="360" w:lineRule="auto"/>
              <w:rPr>
                <w:rFonts w:hint="eastAsia" w:ascii="仿宋" w:hAnsi="仿宋" w:eastAsia="仿宋" w:cs="仿宋"/>
                <w:sz w:val="24"/>
                <w:szCs w:val="24"/>
              </w:rPr>
            </w:pPr>
            <w:r>
              <w:rPr>
                <w:rFonts w:hint="eastAsia" w:ascii="仿宋" w:hAnsi="仿宋" w:eastAsia="仿宋" w:cs="仿宋"/>
                <w:sz w:val="24"/>
                <w:szCs w:val="24"/>
              </w:rPr>
              <w:t>13）</w:t>
            </w:r>
          </w:p>
        </w:tc>
        <w:tc>
          <w:tcPr>
            <w:tcW w:w="7925" w:type="dxa"/>
            <w:noWrap w:val="0"/>
            <w:vAlign w:val="center"/>
          </w:tcPr>
          <w:p w14:paraId="2F2F3B66">
            <w:pPr>
              <w:spacing w:beforeLines="0" w:afterLines="0"/>
              <w:jc w:val="left"/>
              <w:rPr>
                <w:rFonts w:hint="eastAsia" w:ascii="仿宋" w:hAnsi="仿宋" w:eastAsia="仿宋" w:cs="仿宋"/>
                <w:sz w:val="24"/>
                <w:szCs w:val="24"/>
              </w:rPr>
            </w:pPr>
            <w:r>
              <w:rPr>
                <w:rFonts w:hint="eastAsia" w:ascii="仿宋" w:hAnsi="仿宋" w:eastAsia="仿宋" w:cs="仿宋"/>
                <w:color w:val="000000"/>
                <w:sz w:val="24"/>
                <w:szCs w:val="24"/>
              </w:rPr>
              <w:t xml:space="preserve">排污许可证申请与核发技术规范 </w:t>
            </w:r>
            <w:r>
              <w:rPr>
                <w:rFonts w:hint="eastAsia" w:ascii="仿宋" w:hAnsi="仿宋" w:eastAsia="仿宋" w:cs="仿宋"/>
                <w:color w:val="000000"/>
                <w:sz w:val="24"/>
                <w:szCs w:val="24"/>
                <w:lang w:val="en-US" w:eastAsia="zh-CN"/>
              </w:rPr>
              <w:t>(</w:t>
            </w:r>
            <w:r>
              <w:rPr>
                <w:rFonts w:hint="eastAsia" w:ascii="仿宋" w:hAnsi="仿宋" w:eastAsia="仿宋" w:cs="仿宋"/>
                <w:color w:val="000000"/>
                <w:sz w:val="24"/>
                <w:szCs w:val="24"/>
              </w:rPr>
              <w:t>HJ1122—2020</w:t>
            </w:r>
            <w:r>
              <w:rPr>
                <w:rFonts w:hint="eastAsia" w:ascii="仿宋" w:hAnsi="仿宋" w:eastAsia="仿宋" w:cs="仿宋"/>
                <w:color w:val="000000"/>
                <w:sz w:val="24"/>
                <w:szCs w:val="24"/>
                <w:lang w:val="en-US" w:eastAsia="zh-CN"/>
              </w:rPr>
              <w:t>)</w:t>
            </w:r>
            <w:r>
              <w:rPr>
                <w:rFonts w:hint="eastAsia" w:ascii="仿宋" w:hAnsi="仿宋" w:eastAsia="仿宋" w:cs="仿宋"/>
                <w:color w:val="000000"/>
                <w:sz w:val="24"/>
                <w:szCs w:val="24"/>
              </w:rPr>
              <w:t xml:space="preserve"> </w:t>
            </w:r>
          </w:p>
        </w:tc>
      </w:tr>
    </w:tbl>
    <w:p w14:paraId="015DB8E3">
      <w:pPr>
        <w:pStyle w:val="2"/>
        <w:numPr>
          <w:ilvl w:val="0"/>
          <w:numId w:val="0"/>
        </w:numPr>
        <w:spacing w:before="0" w:beforeAutospacing="0" w:afterLines="0" w:line="240" w:lineRule="auto"/>
        <w:rPr>
          <w:rFonts w:hint="eastAsia" w:ascii="仿宋" w:hAnsi="仿宋" w:eastAsia="仿宋" w:cs="仿宋"/>
          <w:color w:val="000000"/>
          <w:sz w:val="28"/>
          <w:szCs w:val="28"/>
          <w:lang w:eastAsia="zh-CN"/>
        </w:rPr>
      </w:pPr>
    </w:p>
    <w:p w14:paraId="1A33C260">
      <w:pPr>
        <w:bidi w:val="0"/>
        <w:rPr>
          <w:rFonts w:hint="eastAsia"/>
          <w:lang w:eastAsia="zh-CN"/>
        </w:rPr>
      </w:pPr>
    </w:p>
    <w:p w14:paraId="0E633486">
      <w:pPr>
        <w:bidi w:val="0"/>
        <w:rPr>
          <w:rFonts w:hint="eastAsia"/>
          <w:lang w:eastAsia="zh-CN"/>
        </w:rPr>
      </w:pPr>
    </w:p>
    <w:p w14:paraId="162B7724">
      <w:pPr>
        <w:bidi w:val="0"/>
        <w:rPr>
          <w:rFonts w:hint="eastAsia"/>
          <w:lang w:eastAsia="zh-CN"/>
        </w:rPr>
      </w:pPr>
    </w:p>
    <w:p w14:paraId="535B5797">
      <w:pPr>
        <w:bidi w:val="0"/>
        <w:rPr>
          <w:rFonts w:hint="eastAsia"/>
          <w:lang w:eastAsia="zh-CN"/>
        </w:rPr>
      </w:pPr>
    </w:p>
    <w:p w14:paraId="181813F9">
      <w:pPr>
        <w:bidi w:val="0"/>
        <w:rPr>
          <w:rFonts w:hint="eastAsia"/>
          <w:lang w:eastAsia="zh-CN"/>
        </w:rPr>
      </w:pPr>
    </w:p>
    <w:p w14:paraId="1A13728A">
      <w:pPr>
        <w:bidi w:val="0"/>
        <w:rPr>
          <w:rFonts w:hint="eastAsia"/>
          <w:lang w:eastAsia="zh-CN"/>
        </w:rPr>
      </w:pPr>
    </w:p>
    <w:p w14:paraId="7F3C7EDC">
      <w:pPr>
        <w:bidi w:val="0"/>
        <w:rPr>
          <w:rFonts w:hint="eastAsia"/>
          <w:lang w:eastAsia="zh-CN"/>
        </w:rPr>
      </w:pPr>
    </w:p>
    <w:p w14:paraId="6FA74A62">
      <w:pPr>
        <w:bidi w:val="0"/>
        <w:rPr>
          <w:rFonts w:hint="eastAsia"/>
          <w:lang w:eastAsia="zh-CN"/>
        </w:rPr>
      </w:pPr>
    </w:p>
    <w:p w14:paraId="13322C5F">
      <w:pPr>
        <w:pStyle w:val="2"/>
        <w:numPr>
          <w:ilvl w:val="0"/>
          <w:numId w:val="0"/>
        </w:numPr>
        <w:spacing w:before="0" w:beforeAutospacing="0" w:afterLines="0" w:line="240" w:lineRule="auto"/>
        <w:rPr>
          <w:rFonts w:hint="eastAsia" w:ascii="仿宋" w:hAnsi="仿宋" w:eastAsia="仿宋" w:cs="仿宋"/>
          <w:sz w:val="28"/>
          <w:szCs w:val="28"/>
        </w:rPr>
      </w:pPr>
      <w:r>
        <w:rPr>
          <w:rFonts w:hint="eastAsia" w:ascii="仿宋" w:hAnsi="仿宋" w:eastAsia="仿宋" w:cs="仿宋"/>
          <w:color w:val="000000"/>
          <w:sz w:val="28"/>
          <w:szCs w:val="28"/>
          <w:lang w:eastAsia="zh-CN"/>
        </w:rPr>
        <w:t>三、</w:t>
      </w:r>
      <w:r>
        <w:rPr>
          <w:rFonts w:hint="eastAsia" w:ascii="仿宋" w:hAnsi="仿宋" w:eastAsia="仿宋" w:cs="仿宋"/>
          <w:color w:val="000000"/>
          <w:sz w:val="28"/>
          <w:szCs w:val="28"/>
        </w:rPr>
        <w:t>工作时间安排</w:t>
      </w:r>
    </w:p>
    <w:tbl>
      <w:tblPr>
        <w:tblStyle w:val="7"/>
        <w:tblpPr w:leftFromText="180" w:rightFromText="180" w:vertAnchor="text" w:horzAnchor="page" w:tblpX="1654" w:tblpY="558"/>
        <w:tblOverlap w:val="never"/>
        <w:tblW w:w="8660" w:type="dxa"/>
        <w:tblInd w:w="0" w:type="dxa"/>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Layout w:type="fixed"/>
        <w:tblCellMar>
          <w:top w:w="0" w:type="dxa"/>
          <w:left w:w="0" w:type="dxa"/>
          <w:bottom w:w="0" w:type="dxa"/>
          <w:right w:w="0" w:type="dxa"/>
        </w:tblCellMar>
      </w:tblPr>
      <w:tblGrid>
        <w:gridCol w:w="862"/>
        <w:gridCol w:w="3503"/>
        <w:gridCol w:w="1634"/>
        <w:gridCol w:w="2661"/>
      </w:tblGrid>
      <w:tr w14:paraId="6C16ADD5">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0" w:type="dxa"/>
            <w:bottom w:w="0" w:type="dxa"/>
            <w:right w:w="0" w:type="dxa"/>
          </w:tblCellMar>
        </w:tblPrEx>
        <w:trPr>
          <w:trHeight w:val="488" w:hRule="atLeast"/>
        </w:trPr>
        <w:tc>
          <w:tcPr>
            <w:tcW w:w="862" w:type="dxa"/>
            <w:noWrap w:val="0"/>
            <w:vAlign w:val="center"/>
          </w:tcPr>
          <w:p w14:paraId="150519F7">
            <w:pPr>
              <w:spacing w:after="156" w:line="240" w:lineRule="auto"/>
              <w:jc w:val="center"/>
              <w:rPr>
                <w:rFonts w:hint="eastAsia" w:ascii="仿宋" w:hAnsi="仿宋" w:eastAsia="仿宋" w:cs="仿宋"/>
                <w:b/>
                <w:sz w:val="24"/>
                <w:szCs w:val="24"/>
              </w:rPr>
            </w:pPr>
            <w:bookmarkStart w:id="3" w:name="_Toc28074662"/>
            <w:r>
              <w:rPr>
                <w:rFonts w:hint="eastAsia" w:ascii="仿宋" w:hAnsi="仿宋" w:eastAsia="仿宋" w:cs="仿宋"/>
                <w:b/>
                <w:sz w:val="24"/>
                <w:szCs w:val="24"/>
              </w:rPr>
              <w:t>序号</w:t>
            </w:r>
          </w:p>
        </w:tc>
        <w:tc>
          <w:tcPr>
            <w:tcW w:w="3503" w:type="dxa"/>
            <w:noWrap w:val="0"/>
            <w:vAlign w:val="center"/>
          </w:tcPr>
          <w:p w14:paraId="1F661203">
            <w:pPr>
              <w:spacing w:after="156" w:line="240" w:lineRule="auto"/>
              <w:jc w:val="center"/>
              <w:rPr>
                <w:rFonts w:hint="eastAsia" w:ascii="仿宋" w:hAnsi="仿宋" w:eastAsia="仿宋" w:cs="仿宋"/>
                <w:b/>
                <w:sz w:val="24"/>
                <w:szCs w:val="24"/>
              </w:rPr>
            </w:pPr>
            <w:r>
              <w:rPr>
                <w:rFonts w:hint="eastAsia" w:ascii="仿宋" w:hAnsi="仿宋" w:eastAsia="仿宋" w:cs="仿宋"/>
                <w:b/>
                <w:sz w:val="24"/>
                <w:szCs w:val="24"/>
              </w:rPr>
              <w:t>工作内容</w:t>
            </w:r>
          </w:p>
        </w:tc>
        <w:tc>
          <w:tcPr>
            <w:tcW w:w="1634" w:type="dxa"/>
            <w:noWrap w:val="0"/>
            <w:vAlign w:val="center"/>
          </w:tcPr>
          <w:p w14:paraId="72C62AC6">
            <w:pPr>
              <w:spacing w:after="156" w:line="240" w:lineRule="auto"/>
              <w:jc w:val="center"/>
              <w:rPr>
                <w:rFonts w:hint="eastAsia" w:ascii="仿宋" w:hAnsi="仿宋" w:eastAsia="仿宋" w:cs="仿宋"/>
                <w:b/>
                <w:sz w:val="24"/>
                <w:szCs w:val="24"/>
                <w:lang w:eastAsia="zh-CN"/>
              </w:rPr>
            </w:pPr>
            <w:r>
              <w:rPr>
                <w:rFonts w:hint="eastAsia" w:ascii="仿宋" w:hAnsi="仿宋" w:eastAsia="仿宋" w:cs="仿宋"/>
                <w:b/>
                <w:sz w:val="24"/>
                <w:szCs w:val="24"/>
              </w:rPr>
              <w:t>时间</w:t>
            </w:r>
            <w:r>
              <w:rPr>
                <w:rFonts w:hint="eastAsia" w:ascii="仿宋" w:hAnsi="仿宋" w:eastAsia="仿宋" w:cs="仿宋"/>
                <w:b/>
                <w:sz w:val="24"/>
                <w:szCs w:val="24"/>
                <w:lang w:eastAsia="zh-CN"/>
              </w:rPr>
              <w:t>（</w:t>
            </w:r>
            <w:r>
              <w:rPr>
                <w:rFonts w:hint="eastAsia" w:ascii="仿宋" w:hAnsi="仿宋" w:eastAsia="仿宋" w:cs="仿宋"/>
                <w:b/>
                <w:sz w:val="24"/>
                <w:szCs w:val="24"/>
                <w:lang w:val="en-US" w:eastAsia="zh-CN"/>
              </w:rPr>
              <w:t>工作日</w:t>
            </w:r>
            <w:r>
              <w:rPr>
                <w:rFonts w:hint="eastAsia" w:ascii="仿宋" w:hAnsi="仿宋" w:eastAsia="仿宋" w:cs="仿宋"/>
                <w:b/>
                <w:sz w:val="24"/>
                <w:szCs w:val="24"/>
                <w:lang w:eastAsia="zh-CN"/>
              </w:rPr>
              <w:t>）</w:t>
            </w:r>
          </w:p>
        </w:tc>
        <w:tc>
          <w:tcPr>
            <w:tcW w:w="2661" w:type="dxa"/>
            <w:noWrap w:val="0"/>
            <w:vAlign w:val="center"/>
          </w:tcPr>
          <w:p w14:paraId="759AFC7C">
            <w:pPr>
              <w:spacing w:after="156" w:line="240" w:lineRule="auto"/>
              <w:jc w:val="center"/>
              <w:rPr>
                <w:rFonts w:hint="eastAsia" w:ascii="仿宋" w:hAnsi="仿宋" w:eastAsia="仿宋" w:cs="仿宋"/>
                <w:b/>
                <w:sz w:val="24"/>
                <w:szCs w:val="24"/>
              </w:rPr>
            </w:pPr>
            <w:r>
              <w:rPr>
                <w:rFonts w:hint="eastAsia" w:ascii="仿宋" w:hAnsi="仿宋" w:eastAsia="仿宋" w:cs="仿宋"/>
                <w:b/>
                <w:sz w:val="24"/>
                <w:szCs w:val="24"/>
              </w:rPr>
              <w:t>备注</w:t>
            </w:r>
          </w:p>
        </w:tc>
      </w:tr>
      <w:tr w14:paraId="57E65A0F">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0" w:type="dxa"/>
            <w:bottom w:w="0" w:type="dxa"/>
            <w:right w:w="0" w:type="dxa"/>
          </w:tblCellMar>
        </w:tblPrEx>
        <w:trPr>
          <w:trHeight w:val="456" w:hRule="atLeast"/>
        </w:trPr>
        <w:tc>
          <w:tcPr>
            <w:tcW w:w="862" w:type="dxa"/>
            <w:noWrap w:val="0"/>
            <w:vAlign w:val="center"/>
          </w:tcPr>
          <w:p w14:paraId="05C9E3BC">
            <w:pPr>
              <w:snapToGrid w:val="0"/>
              <w:spacing w:after="156" w:line="240" w:lineRule="auto"/>
              <w:jc w:val="center"/>
              <w:rPr>
                <w:rFonts w:hint="eastAsia" w:ascii="仿宋" w:hAnsi="仿宋" w:eastAsia="仿宋" w:cs="仿宋"/>
                <w:sz w:val="24"/>
                <w:szCs w:val="24"/>
              </w:rPr>
            </w:pPr>
            <w:r>
              <w:rPr>
                <w:rFonts w:hint="eastAsia" w:ascii="仿宋" w:hAnsi="仿宋" w:eastAsia="仿宋" w:cs="仿宋"/>
                <w:sz w:val="24"/>
                <w:szCs w:val="24"/>
              </w:rPr>
              <w:t>1</w:t>
            </w:r>
          </w:p>
        </w:tc>
        <w:tc>
          <w:tcPr>
            <w:tcW w:w="3503" w:type="dxa"/>
            <w:noWrap w:val="0"/>
            <w:vAlign w:val="center"/>
          </w:tcPr>
          <w:p w14:paraId="114661E1">
            <w:pPr>
              <w:snapToGrid w:val="0"/>
              <w:spacing w:after="156" w:line="240" w:lineRule="auto"/>
              <w:jc w:val="center"/>
              <w:rPr>
                <w:rFonts w:hint="eastAsia" w:ascii="仿宋" w:hAnsi="仿宋" w:eastAsia="仿宋" w:cs="仿宋"/>
                <w:sz w:val="24"/>
                <w:szCs w:val="24"/>
              </w:rPr>
            </w:pPr>
            <w:r>
              <w:rPr>
                <w:rFonts w:hint="eastAsia" w:ascii="仿宋" w:hAnsi="仿宋" w:eastAsia="仿宋" w:cs="仿宋"/>
                <w:sz w:val="24"/>
                <w:szCs w:val="24"/>
              </w:rPr>
              <w:t>勘查现场</w:t>
            </w:r>
          </w:p>
        </w:tc>
        <w:tc>
          <w:tcPr>
            <w:tcW w:w="1634" w:type="dxa"/>
            <w:noWrap w:val="0"/>
            <w:vAlign w:val="center"/>
          </w:tcPr>
          <w:p w14:paraId="7BF1DDB6">
            <w:pPr>
              <w:snapToGrid w:val="0"/>
              <w:spacing w:after="156" w:line="24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1</w:t>
            </w:r>
            <w:r>
              <w:rPr>
                <w:rFonts w:hint="eastAsia" w:ascii="仿宋" w:hAnsi="仿宋" w:eastAsia="仿宋" w:cs="仿宋"/>
                <w:sz w:val="24"/>
                <w:szCs w:val="24"/>
              </w:rPr>
              <w:t>天</w:t>
            </w:r>
          </w:p>
        </w:tc>
        <w:tc>
          <w:tcPr>
            <w:tcW w:w="2661" w:type="dxa"/>
            <w:noWrap w:val="0"/>
            <w:vAlign w:val="center"/>
          </w:tcPr>
          <w:p w14:paraId="02486EB5">
            <w:pPr>
              <w:snapToGrid w:val="0"/>
              <w:spacing w:after="156" w:line="240" w:lineRule="auto"/>
              <w:jc w:val="center"/>
              <w:rPr>
                <w:rFonts w:hint="eastAsia" w:ascii="仿宋" w:hAnsi="仿宋" w:eastAsia="仿宋" w:cs="仿宋"/>
                <w:sz w:val="24"/>
                <w:szCs w:val="24"/>
              </w:rPr>
            </w:pPr>
          </w:p>
        </w:tc>
      </w:tr>
      <w:tr w14:paraId="17941BE5">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0" w:type="dxa"/>
            <w:bottom w:w="0" w:type="dxa"/>
            <w:right w:w="0" w:type="dxa"/>
          </w:tblCellMar>
        </w:tblPrEx>
        <w:trPr>
          <w:trHeight w:val="996" w:hRule="atLeast"/>
        </w:trPr>
        <w:tc>
          <w:tcPr>
            <w:tcW w:w="862" w:type="dxa"/>
            <w:noWrap w:val="0"/>
            <w:vAlign w:val="center"/>
          </w:tcPr>
          <w:p w14:paraId="46C0A251">
            <w:pPr>
              <w:snapToGrid w:val="0"/>
              <w:spacing w:after="156" w:line="240" w:lineRule="auto"/>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2</w:t>
            </w:r>
          </w:p>
        </w:tc>
        <w:tc>
          <w:tcPr>
            <w:tcW w:w="3503" w:type="dxa"/>
            <w:noWrap w:val="0"/>
            <w:vAlign w:val="center"/>
          </w:tcPr>
          <w:p w14:paraId="2C2C6869">
            <w:pPr>
              <w:snapToGrid w:val="0"/>
              <w:spacing w:after="156" w:line="240" w:lineRule="auto"/>
              <w:jc w:val="center"/>
              <w:rPr>
                <w:rFonts w:hint="eastAsia" w:ascii="仿宋" w:hAnsi="仿宋" w:eastAsia="仿宋" w:cs="仿宋"/>
                <w:sz w:val="24"/>
                <w:szCs w:val="24"/>
              </w:rPr>
            </w:pPr>
            <w:r>
              <w:rPr>
                <w:rFonts w:hint="eastAsia" w:ascii="仿宋" w:hAnsi="仿宋" w:eastAsia="仿宋" w:cs="仿宋"/>
                <w:sz w:val="24"/>
                <w:szCs w:val="24"/>
              </w:rPr>
              <w:t>调试公示；编写应急预案并组织评审</w:t>
            </w:r>
            <w:r>
              <w:rPr>
                <w:rFonts w:hint="eastAsia" w:ascii="仿宋" w:hAnsi="仿宋" w:eastAsia="仿宋" w:cs="仿宋"/>
                <w:sz w:val="24"/>
                <w:szCs w:val="24"/>
                <w:lang w:eastAsia="zh-CN"/>
              </w:rPr>
              <w:t>；</w:t>
            </w:r>
            <w:r>
              <w:rPr>
                <w:rFonts w:hint="eastAsia" w:ascii="仿宋" w:hAnsi="仿宋" w:eastAsia="仿宋" w:cs="仿宋"/>
                <w:sz w:val="24"/>
                <w:szCs w:val="24"/>
              </w:rPr>
              <w:t>污染源监测</w:t>
            </w:r>
          </w:p>
        </w:tc>
        <w:tc>
          <w:tcPr>
            <w:tcW w:w="1634" w:type="dxa"/>
            <w:noWrap w:val="0"/>
            <w:vAlign w:val="center"/>
          </w:tcPr>
          <w:p w14:paraId="0CD47FE3">
            <w:pPr>
              <w:snapToGrid w:val="0"/>
              <w:spacing w:after="156" w:line="24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3</w:t>
            </w:r>
            <w:r>
              <w:rPr>
                <w:rFonts w:hint="eastAsia" w:ascii="仿宋" w:hAnsi="仿宋" w:eastAsia="仿宋" w:cs="仿宋"/>
                <w:sz w:val="24"/>
                <w:szCs w:val="24"/>
              </w:rPr>
              <w:t>0天</w:t>
            </w:r>
          </w:p>
        </w:tc>
        <w:tc>
          <w:tcPr>
            <w:tcW w:w="2661" w:type="dxa"/>
            <w:noWrap w:val="0"/>
            <w:vAlign w:val="center"/>
          </w:tcPr>
          <w:p w14:paraId="77DBA83F">
            <w:pPr>
              <w:snapToGrid w:val="0"/>
              <w:spacing w:after="156" w:line="240" w:lineRule="auto"/>
              <w:jc w:val="center"/>
              <w:rPr>
                <w:rFonts w:hint="eastAsia" w:ascii="仿宋" w:hAnsi="仿宋" w:eastAsia="仿宋" w:cs="仿宋"/>
                <w:sz w:val="24"/>
                <w:szCs w:val="24"/>
              </w:rPr>
            </w:pPr>
            <w:r>
              <w:rPr>
                <w:rFonts w:hint="eastAsia" w:ascii="仿宋" w:hAnsi="仿宋" w:eastAsia="仿宋" w:cs="仿宋"/>
                <w:sz w:val="24"/>
                <w:szCs w:val="24"/>
              </w:rPr>
              <w:t>含监测采样，应急预案评审等</w:t>
            </w:r>
          </w:p>
        </w:tc>
      </w:tr>
      <w:tr w14:paraId="44093A7D">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0" w:type="dxa"/>
            <w:bottom w:w="0" w:type="dxa"/>
            <w:right w:w="0" w:type="dxa"/>
          </w:tblCellMar>
        </w:tblPrEx>
        <w:trPr>
          <w:trHeight w:val="456" w:hRule="atLeast"/>
        </w:trPr>
        <w:tc>
          <w:tcPr>
            <w:tcW w:w="862" w:type="dxa"/>
            <w:noWrap w:val="0"/>
            <w:vAlign w:val="center"/>
          </w:tcPr>
          <w:p w14:paraId="2F22CCD2">
            <w:pPr>
              <w:snapToGrid w:val="0"/>
              <w:spacing w:after="156" w:line="240" w:lineRule="auto"/>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3</w:t>
            </w:r>
          </w:p>
        </w:tc>
        <w:tc>
          <w:tcPr>
            <w:tcW w:w="3503" w:type="dxa"/>
            <w:noWrap w:val="0"/>
            <w:vAlign w:val="center"/>
          </w:tcPr>
          <w:p w14:paraId="7E09DAD9">
            <w:pPr>
              <w:snapToGrid w:val="0"/>
              <w:spacing w:after="156" w:line="240" w:lineRule="auto"/>
              <w:jc w:val="center"/>
              <w:rPr>
                <w:rFonts w:hint="eastAsia" w:ascii="仿宋" w:hAnsi="仿宋" w:eastAsia="仿宋" w:cs="仿宋"/>
                <w:sz w:val="24"/>
                <w:szCs w:val="24"/>
              </w:rPr>
            </w:pPr>
            <w:r>
              <w:rPr>
                <w:rFonts w:hint="eastAsia" w:ascii="仿宋" w:hAnsi="仿宋" w:eastAsia="仿宋" w:cs="仿宋"/>
                <w:sz w:val="24"/>
                <w:szCs w:val="24"/>
              </w:rPr>
              <w:t>建设项目竣工验收监测报告编写</w:t>
            </w:r>
          </w:p>
        </w:tc>
        <w:tc>
          <w:tcPr>
            <w:tcW w:w="1634" w:type="dxa"/>
            <w:noWrap w:val="0"/>
            <w:vAlign w:val="center"/>
          </w:tcPr>
          <w:p w14:paraId="0D6CAE1E">
            <w:pPr>
              <w:snapToGrid w:val="0"/>
              <w:spacing w:after="156" w:line="24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3</w:t>
            </w:r>
            <w:r>
              <w:rPr>
                <w:rFonts w:hint="eastAsia" w:ascii="仿宋" w:hAnsi="仿宋" w:eastAsia="仿宋" w:cs="仿宋"/>
                <w:sz w:val="24"/>
                <w:szCs w:val="24"/>
              </w:rPr>
              <w:t>0天</w:t>
            </w:r>
          </w:p>
        </w:tc>
        <w:tc>
          <w:tcPr>
            <w:tcW w:w="2661" w:type="dxa"/>
            <w:noWrap w:val="0"/>
            <w:vAlign w:val="center"/>
          </w:tcPr>
          <w:p w14:paraId="66A88BEE">
            <w:pPr>
              <w:snapToGrid w:val="0"/>
              <w:spacing w:after="156" w:line="240" w:lineRule="auto"/>
              <w:jc w:val="center"/>
              <w:rPr>
                <w:rFonts w:hint="eastAsia" w:ascii="仿宋" w:hAnsi="仿宋" w:eastAsia="仿宋" w:cs="仿宋"/>
                <w:sz w:val="24"/>
                <w:szCs w:val="24"/>
              </w:rPr>
            </w:pPr>
          </w:p>
        </w:tc>
      </w:tr>
      <w:tr w14:paraId="77E2377B">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0" w:type="dxa"/>
            <w:bottom w:w="0" w:type="dxa"/>
            <w:right w:w="0" w:type="dxa"/>
          </w:tblCellMar>
        </w:tblPrEx>
        <w:trPr>
          <w:trHeight w:val="749" w:hRule="atLeast"/>
        </w:trPr>
        <w:tc>
          <w:tcPr>
            <w:tcW w:w="862" w:type="dxa"/>
            <w:noWrap w:val="0"/>
            <w:vAlign w:val="center"/>
          </w:tcPr>
          <w:p w14:paraId="2C9F9362">
            <w:pPr>
              <w:snapToGrid w:val="0"/>
              <w:spacing w:after="156" w:line="240" w:lineRule="auto"/>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4</w:t>
            </w:r>
          </w:p>
        </w:tc>
        <w:tc>
          <w:tcPr>
            <w:tcW w:w="3503" w:type="dxa"/>
            <w:noWrap w:val="0"/>
            <w:vAlign w:val="center"/>
          </w:tcPr>
          <w:p w14:paraId="34F63A37">
            <w:pPr>
              <w:snapToGrid w:val="0"/>
              <w:spacing w:after="156" w:line="240" w:lineRule="auto"/>
              <w:jc w:val="center"/>
              <w:rPr>
                <w:rFonts w:hint="eastAsia" w:ascii="仿宋" w:hAnsi="仿宋" w:eastAsia="仿宋" w:cs="仿宋"/>
                <w:sz w:val="24"/>
                <w:szCs w:val="24"/>
              </w:rPr>
            </w:pPr>
            <w:r>
              <w:rPr>
                <w:rFonts w:hint="eastAsia" w:ascii="仿宋" w:hAnsi="仿宋" w:eastAsia="仿宋" w:cs="仿宋"/>
                <w:sz w:val="24"/>
                <w:szCs w:val="24"/>
              </w:rPr>
              <w:t>组织专家评审会</w:t>
            </w:r>
          </w:p>
        </w:tc>
        <w:tc>
          <w:tcPr>
            <w:tcW w:w="1634" w:type="dxa"/>
            <w:noWrap w:val="0"/>
            <w:vAlign w:val="center"/>
          </w:tcPr>
          <w:p w14:paraId="11DF5D46">
            <w:pPr>
              <w:snapToGrid w:val="0"/>
              <w:spacing w:after="156" w:line="24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5</w:t>
            </w:r>
            <w:r>
              <w:rPr>
                <w:rFonts w:hint="eastAsia" w:ascii="仿宋" w:hAnsi="仿宋" w:eastAsia="仿宋" w:cs="仿宋"/>
                <w:sz w:val="24"/>
                <w:szCs w:val="24"/>
              </w:rPr>
              <w:t>天</w:t>
            </w:r>
          </w:p>
        </w:tc>
        <w:tc>
          <w:tcPr>
            <w:tcW w:w="2661" w:type="dxa"/>
            <w:noWrap w:val="0"/>
            <w:vAlign w:val="center"/>
          </w:tcPr>
          <w:p w14:paraId="4FC2608B">
            <w:pPr>
              <w:snapToGrid w:val="0"/>
              <w:spacing w:after="156" w:line="240" w:lineRule="auto"/>
              <w:jc w:val="center"/>
              <w:rPr>
                <w:rFonts w:hint="eastAsia" w:ascii="仿宋" w:hAnsi="仿宋" w:eastAsia="仿宋" w:cs="仿宋"/>
                <w:sz w:val="24"/>
                <w:szCs w:val="24"/>
              </w:rPr>
            </w:pPr>
            <w:r>
              <w:rPr>
                <w:rFonts w:hint="eastAsia" w:ascii="仿宋" w:hAnsi="仿宋" w:eastAsia="仿宋" w:cs="仿宋"/>
                <w:sz w:val="24"/>
                <w:szCs w:val="24"/>
              </w:rPr>
              <w:t>根据专家意见需补充相关资料</w:t>
            </w:r>
          </w:p>
        </w:tc>
      </w:tr>
      <w:tr w14:paraId="2D475E34">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0" w:type="dxa"/>
            <w:bottom w:w="0" w:type="dxa"/>
            <w:right w:w="0" w:type="dxa"/>
          </w:tblCellMar>
        </w:tblPrEx>
        <w:trPr>
          <w:trHeight w:val="474" w:hRule="atLeast"/>
        </w:trPr>
        <w:tc>
          <w:tcPr>
            <w:tcW w:w="862" w:type="dxa"/>
            <w:noWrap w:val="0"/>
            <w:vAlign w:val="center"/>
          </w:tcPr>
          <w:p w14:paraId="191846FD">
            <w:pPr>
              <w:snapToGrid w:val="0"/>
              <w:spacing w:after="156" w:line="240" w:lineRule="auto"/>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5</w:t>
            </w:r>
          </w:p>
        </w:tc>
        <w:tc>
          <w:tcPr>
            <w:tcW w:w="3503" w:type="dxa"/>
            <w:noWrap w:val="0"/>
            <w:vAlign w:val="center"/>
          </w:tcPr>
          <w:p w14:paraId="3FC052AE">
            <w:pPr>
              <w:snapToGrid w:val="0"/>
              <w:spacing w:after="156" w:line="240" w:lineRule="auto"/>
              <w:jc w:val="center"/>
              <w:rPr>
                <w:rFonts w:hint="eastAsia" w:ascii="仿宋" w:hAnsi="仿宋" w:eastAsia="仿宋" w:cs="仿宋"/>
                <w:sz w:val="24"/>
                <w:szCs w:val="24"/>
              </w:rPr>
            </w:pPr>
            <w:r>
              <w:rPr>
                <w:rFonts w:hint="eastAsia" w:ascii="仿宋" w:hAnsi="仿宋" w:eastAsia="仿宋" w:cs="仿宋"/>
                <w:sz w:val="24"/>
                <w:szCs w:val="24"/>
              </w:rPr>
              <w:t>修改出具正式竣工验收报告</w:t>
            </w:r>
          </w:p>
        </w:tc>
        <w:tc>
          <w:tcPr>
            <w:tcW w:w="1634" w:type="dxa"/>
            <w:noWrap w:val="0"/>
            <w:vAlign w:val="center"/>
          </w:tcPr>
          <w:p w14:paraId="47E26D1D">
            <w:pPr>
              <w:snapToGrid w:val="0"/>
              <w:spacing w:after="156" w:line="24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4</w:t>
            </w:r>
            <w:r>
              <w:rPr>
                <w:rFonts w:hint="eastAsia" w:ascii="仿宋" w:hAnsi="仿宋" w:eastAsia="仿宋" w:cs="仿宋"/>
                <w:sz w:val="24"/>
                <w:szCs w:val="24"/>
              </w:rPr>
              <w:t>天</w:t>
            </w:r>
          </w:p>
        </w:tc>
        <w:tc>
          <w:tcPr>
            <w:tcW w:w="2661" w:type="dxa"/>
            <w:noWrap w:val="0"/>
            <w:vAlign w:val="center"/>
          </w:tcPr>
          <w:p w14:paraId="2C79E6C7">
            <w:pPr>
              <w:snapToGrid w:val="0"/>
              <w:spacing w:after="156" w:line="240" w:lineRule="auto"/>
              <w:jc w:val="center"/>
              <w:rPr>
                <w:rFonts w:hint="eastAsia" w:ascii="仿宋" w:hAnsi="仿宋" w:eastAsia="仿宋" w:cs="仿宋"/>
                <w:sz w:val="24"/>
                <w:szCs w:val="24"/>
              </w:rPr>
            </w:pPr>
          </w:p>
        </w:tc>
      </w:tr>
      <w:tr w14:paraId="6E96A12C">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0" w:type="dxa"/>
            <w:bottom w:w="0" w:type="dxa"/>
            <w:right w:w="0" w:type="dxa"/>
          </w:tblCellMar>
        </w:tblPrEx>
        <w:trPr>
          <w:trHeight w:val="749" w:hRule="atLeast"/>
        </w:trPr>
        <w:tc>
          <w:tcPr>
            <w:tcW w:w="862" w:type="dxa"/>
            <w:noWrap w:val="0"/>
            <w:vAlign w:val="center"/>
          </w:tcPr>
          <w:p w14:paraId="47C9D8AF">
            <w:pPr>
              <w:snapToGrid w:val="0"/>
              <w:spacing w:after="156" w:line="240" w:lineRule="auto"/>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6</w:t>
            </w:r>
          </w:p>
        </w:tc>
        <w:tc>
          <w:tcPr>
            <w:tcW w:w="3503" w:type="dxa"/>
            <w:noWrap w:val="0"/>
            <w:vAlign w:val="center"/>
          </w:tcPr>
          <w:p w14:paraId="66B00421">
            <w:pPr>
              <w:snapToGrid w:val="0"/>
              <w:spacing w:after="156" w:line="24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rPr>
              <w:t>最终的验收报告完成后需环保系统公示</w:t>
            </w:r>
            <w:r>
              <w:rPr>
                <w:rFonts w:hint="eastAsia" w:ascii="仿宋" w:hAnsi="仿宋" w:eastAsia="仿宋" w:cs="仿宋"/>
                <w:sz w:val="24"/>
                <w:szCs w:val="24"/>
                <w:lang w:val="en-US" w:eastAsia="zh-CN"/>
              </w:rPr>
              <w:t xml:space="preserve"> </w:t>
            </w:r>
          </w:p>
        </w:tc>
        <w:tc>
          <w:tcPr>
            <w:tcW w:w="1634" w:type="dxa"/>
            <w:noWrap w:val="0"/>
            <w:vAlign w:val="center"/>
          </w:tcPr>
          <w:p w14:paraId="568221B2">
            <w:pPr>
              <w:snapToGrid w:val="0"/>
              <w:spacing w:after="156" w:line="240" w:lineRule="auto"/>
              <w:jc w:val="center"/>
              <w:rPr>
                <w:rFonts w:hint="eastAsia" w:ascii="仿宋" w:hAnsi="仿宋" w:eastAsia="仿宋" w:cs="仿宋"/>
                <w:sz w:val="24"/>
                <w:szCs w:val="24"/>
                <w:lang w:eastAsia="zh-CN"/>
              </w:rPr>
            </w:pPr>
            <w:r>
              <w:rPr>
                <w:rFonts w:hint="eastAsia" w:ascii="仿宋" w:hAnsi="仿宋" w:eastAsia="仿宋" w:cs="仿宋"/>
                <w:sz w:val="24"/>
                <w:szCs w:val="24"/>
              </w:rPr>
              <w:t>20</w:t>
            </w:r>
            <w:r>
              <w:rPr>
                <w:rFonts w:hint="eastAsia" w:ascii="仿宋" w:hAnsi="仿宋" w:eastAsia="仿宋" w:cs="仿宋"/>
                <w:sz w:val="24"/>
                <w:szCs w:val="24"/>
                <w:lang w:val="en-US" w:eastAsia="zh-CN"/>
              </w:rPr>
              <w:t>天</w:t>
            </w:r>
          </w:p>
        </w:tc>
        <w:tc>
          <w:tcPr>
            <w:tcW w:w="2661" w:type="dxa"/>
            <w:noWrap w:val="0"/>
            <w:vAlign w:val="center"/>
          </w:tcPr>
          <w:p w14:paraId="0129A58A">
            <w:pPr>
              <w:snapToGrid w:val="0"/>
              <w:spacing w:after="156" w:line="24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国家验收平台规定</w:t>
            </w:r>
          </w:p>
        </w:tc>
      </w:tr>
      <w:tr w14:paraId="377D9A28">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0" w:type="dxa"/>
            <w:bottom w:w="0" w:type="dxa"/>
            <w:right w:w="0" w:type="dxa"/>
          </w:tblCellMar>
        </w:tblPrEx>
        <w:trPr>
          <w:trHeight w:val="709" w:hRule="atLeast"/>
        </w:trPr>
        <w:tc>
          <w:tcPr>
            <w:tcW w:w="4365" w:type="dxa"/>
            <w:gridSpan w:val="2"/>
            <w:noWrap w:val="0"/>
            <w:vAlign w:val="center"/>
          </w:tcPr>
          <w:p w14:paraId="430E29A2">
            <w:pPr>
              <w:snapToGrid w:val="0"/>
              <w:spacing w:after="156" w:line="240" w:lineRule="auto"/>
              <w:jc w:val="center"/>
              <w:rPr>
                <w:rFonts w:hint="eastAsia" w:ascii="仿宋" w:hAnsi="仿宋" w:eastAsia="仿宋" w:cs="仿宋"/>
                <w:sz w:val="24"/>
                <w:szCs w:val="24"/>
              </w:rPr>
            </w:pPr>
            <w:r>
              <w:rPr>
                <w:rFonts w:hint="eastAsia" w:ascii="仿宋" w:hAnsi="仿宋" w:eastAsia="仿宋" w:cs="仿宋"/>
                <w:sz w:val="24"/>
                <w:szCs w:val="24"/>
              </w:rPr>
              <w:t>小计</w:t>
            </w:r>
          </w:p>
        </w:tc>
        <w:tc>
          <w:tcPr>
            <w:tcW w:w="1634" w:type="dxa"/>
            <w:noWrap w:val="0"/>
            <w:vAlign w:val="center"/>
          </w:tcPr>
          <w:p w14:paraId="6F893ACC">
            <w:pPr>
              <w:snapToGrid w:val="0"/>
              <w:spacing w:after="156" w:line="24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90</w:t>
            </w:r>
            <w:r>
              <w:rPr>
                <w:rFonts w:hint="eastAsia" w:ascii="仿宋" w:hAnsi="仿宋" w:eastAsia="仿宋" w:cs="仿宋"/>
                <w:sz w:val="24"/>
                <w:szCs w:val="24"/>
              </w:rPr>
              <w:t>天</w:t>
            </w:r>
          </w:p>
        </w:tc>
        <w:tc>
          <w:tcPr>
            <w:tcW w:w="2661" w:type="dxa"/>
            <w:noWrap w:val="0"/>
            <w:vAlign w:val="center"/>
          </w:tcPr>
          <w:p w14:paraId="3FDA352E">
            <w:pPr>
              <w:snapToGrid w:val="0"/>
              <w:spacing w:after="156" w:line="240" w:lineRule="auto"/>
              <w:jc w:val="center"/>
              <w:rPr>
                <w:rFonts w:hint="eastAsia" w:ascii="仿宋" w:hAnsi="仿宋" w:eastAsia="仿宋" w:cs="仿宋"/>
                <w:sz w:val="24"/>
                <w:szCs w:val="24"/>
              </w:rPr>
            </w:pPr>
            <w:r>
              <w:rPr>
                <w:rFonts w:hint="eastAsia" w:ascii="仿宋" w:hAnsi="仿宋" w:eastAsia="仿宋" w:cs="仿宋"/>
                <w:sz w:val="24"/>
                <w:szCs w:val="24"/>
              </w:rPr>
              <w:t>完成验收工作</w:t>
            </w:r>
          </w:p>
        </w:tc>
      </w:tr>
      <w:bookmarkEnd w:id="3"/>
    </w:tbl>
    <w:p w14:paraId="6C3156BB">
      <w:pPr>
        <w:spacing w:after="156"/>
        <w:rPr>
          <w:rFonts w:hint="eastAsia" w:ascii="仿宋" w:hAnsi="仿宋" w:eastAsia="仿宋" w:cs="仿宋"/>
          <w:sz w:val="28"/>
          <w:szCs w:val="28"/>
          <w:lang w:val="en-US" w:eastAsia="zh-CN"/>
        </w:rPr>
      </w:pPr>
    </w:p>
    <w:bookmarkEnd w:id="0"/>
    <w:p w14:paraId="36CC543F">
      <w:pPr>
        <w:numPr>
          <w:ilvl w:val="0"/>
          <w:numId w:val="0"/>
        </w:numPr>
        <w:tabs>
          <w:tab w:val="right" w:pos="9524"/>
        </w:tabs>
        <w:spacing w:line="560" w:lineRule="exact"/>
        <w:ind w:firstLine="562" w:firstLineChars="200"/>
        <w:rPr>
          <w:rFonts w:hint="eastAsia" w:ascii="仿宋_GB2312" w:hAnsi="宋体" w:eastAsia="仿宋_GB2312" w:cs="Calibri"/>
          <w:b/>
          <w:sz w:val="28"/>
          <w:szCs w:val="28"/>
          <w:lang w:val="en-US" w:eastAsia="zh-CN"/>
        </w:rPr>
      </w:pPr>
      <w:r>
        <w:rPr>
          <w:rFonts w:hint="eastAsia" w:ascii="仿宋_GB2312" w:hAnsi="宋体" w:eastAsia="仿宋_GB2312" w:cs="Calibri"/>
          <w:b/>
          <w:kern w:val="2"/>
          <w:sz w:val="28"/>
          <w:szCs w:val="28"/>
          <w:lang w:val="en-US" w:eastAsia="zh-CN" w:bidi="ar-SA"/>
        </w:rPr>
        <w:t>四、</w:t>
      </w:r>
      <w:r>
        <w:rPr>
          <w:rFonts w:hint="eastAsia" w:ascii="仿宋_GB2312" w:hAnsi="宋体" w:eastAsia="仿宋_GB2312" w:cs="Calibri"/>
          <w:b/>
          <w:sz w:val="28"/>
          <w:szCs w:val="28"/>
          <w:lang w:val="en-US" w:eastAsia="zh-CN"/>
        </w:rPr>
        <w:t>供应商的资格要求</w:t>
      </w:r>
    </w:p>
    <w:p w14:paraId="7D089146">
      <w:pPr>
        <w:numPr>
          <w:ilvl w:val="0"/>
          <w:numId w:val="0"/>
        </w:numPr>
        <w:tabs>
          <w:tab w:val="right" w:pos="9524"/>
        </w:tabs>
        <w:spacing w:line="560" w:lineRule="exact"/>
        <w:ind w:firstLine="562" w:firstLineChars="200"/>
        <w:rPr>
          <w:rFonts w:hint="eastAsia" w:ascii="仿宋_GB2312" w:hAnsi="宋体" w:eastAsia="仿宋_GB2312" w:cs="Calibri"/>
          <w:b/>
          <w:sz w:val="28"/>
          <w:szCs w:val="28"/>
          <w:lang w:val="en-US" w:eastAsia="zh-CN"/>
        </w:rPr>
      </w:pPr>
      <w:r>
        <w:rPr>
          <w:rFonts w:hint="eastAsia" w:ascii="仿宋_GB2312" w:hAnsi="宋体" w:eastAsia="仿宋_GB2312" w:cs="Calibri"/>
          <w:b/>
          <w:sz w:val="28"/>
          <w:szCs w:val="28"/>
          <w:lang w:val="en-US" w:eastAsia="zh-CN"/>
        </w:rPr>
        <w:t>1.供应商应具备《中华人民共和国政府采购法》第二十二条规定的条件，提供下列材料：</w:t>
      </w:r>
    </w:p>
    <w:p w14:paraId="1B67B384">
      <w:pPr>
        <w:numPr>
          <w:ilvl w:val="0"/>
          <w:numId w:val="0"/>
        </w:numPr>
        <w:tabs>
          <w:tab w:val="right" w:pos="9524"/>
        </w:tabs>
        <w:spacing w:line="560" w:lineRule="exact"/>
        <w:ind w:firstLine="562" w:firstLineChars="200"/>
        <w:rPr>
          <w:rFonts w:hint="eastAsia" w:ascii="仿宋_GB2312" w:hAnsi="宋体" w:eastAsia="仿宋_GB2312" w:cs="Calibri"/>
          <w:b/>
          <w:sz w:val="28"/>
          <w:szCs w:val="28"/>
          <w:lang w:val="en-US" w:eastAsia="zh-CN"/>
        </w:rPr>
      </w:pPr>
    </w:p>
    <w:p w14:paraId="6D029F66">
      <w:pPr>
        <w:tabs>
          <w:tab w:val="left" w:pos="735"/>
        </w:tabs>
        <w:spacing w:line="560" w:lineRule="exact"/>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lang w:val="en-US" w:eastAsia="zh-CN"/>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r>
        <w:rPr>
          <w:rFonts w:hint="default" w:ascii="仿宋" w:hAnsi="仿宋" w:eastAsia="仿宋" w:cs="仿宋"/>
          <w:color w:val="000000"/>
          <w:sz w:val="28"/>
          <w:szCs w:val="28"/>
          <w:lang w:val="en-US" w:eastAsia="zh-CN"/>
        </w:rPr>
        <w:t> </w:t>
      </w:r>
    </w:p>
    <w:p w14:paraId="55C65047">
      <w:pPr>
        <w:tabs>
          <w:tab w:val="left" w:pos="735"/>
        </w:tabs>
        <w:spacing w:line="560" w:lineRule="exact"/>
        <w:ind w:firstLine="560" w:firstLineChars="200"/>
        <w:rPr>
          <w:rFonts w:hint="default" w:ascii="仿宋" w:hAnsi="仿宋" w:eastAsia="仿宋" w:cs="仿宋"/>
          <w:color w:val="000000"/>
          <w:sz w:val="28"/>
          <w:szCs w:val="28"/>
        </w:rPr>
      </w:pPr>
      <w:r>
        <w:rPr>
          <w:rFonts w:hint="default" w:ascii="仿宋" w:hAnsi="仿宋" w:eastAsia="仿宋" w:cs="仿宋"/>
          <w:color w:val="000000"/>
          <w:sz w:val="28"/>
          <w:szCs w:val="28"/>
          <w:lang w:val="en-US" w:eastAsia="zh-CN"/>
        </w:rPr>
        <w:t>2）具有良好的商业信誉和健全的财务会计制度：供应商必须具有良好的商业信誉和健全的财务会计制度（提供以下2种证明材料之一：①2023年度年度经会计师事务所审计的财务状况报告；②基本开户行出具的资信证明和《基本存款账号信息》） 。</w:t>
      </w:r>
    </w:p>
    <w:p w14:paraId="629AAD33">
      <w:pPr>
        <w:tabs>
          <w:tab w:val="left" w:pos="735"/>
        </w:tabs>
        <w:spacing w:line="560" w:lineRule="exact"/>
        <w:ind w:firstLine="560" w:firstLineChars="200"/>
        <w:rPr>
          <w:rFonts w:hint="eastAsia" w:ascii="仿宋" w:hAnsi="仿宋" w:eastAsia="仿宋" w:cs="仿宋"/>
          <w:color w:val="000000"/>
          <w:sz w:val="28"/>
          <w:szCs w:val="28"/>
          <w:lang w:val="en-US" w:eastAsia="zh-CN"/>
        </w:rPr>
      </w:pPr>
      <w:r>
        <w:rPr>
          <w:rFonts w:hint="default" w:ascii="仿宋" w:hAnsi="仿宋" w:eastAsia="仿宋" w:cs="仿宋"/>
          <w:color w:val="000000"/>
          <w:sz w:val="28"/>
          <w:szCs w:val="28"/>
          <w:lang w:val="en-US" w:eastAsia="zh-CN"/>
        </w:rPr>
        <w:t>3）供应商必须具有</w:t>
      </w:r>
      <w:r>
        <w:rPr>
          <w:rFonts w:hint="eastAsia" w:ascii="仿宋" w:hAnsi="仿宋" w:eastAsia="仿宋" w:cs="仿宋"/>
          <w:color w:val="000000"/>
          <w:sz w:val="28"/>
          <w:szCs w:val="28"/>
          <w:lang w:val="en-US" w:eastAsia="zh-CN"/>
        </w:rPr>
        <w:t>环境影响评价资质。</w:t>
      </w:r>
    </w:p>
    <w:p w14:paraId="2EA8F711">
      <w:pPr>
        <w:tabs>
          <w:tab w:val="left" w:pos="735"/>
        </w:tabs>
        <w:spacing w:line="560" w:lineRule="exact"/>
        <w:ind w:firstLine="560" w:firstLineChars="200"/>
        <w:rPr>
          <w:rFonts w:hint="default" w:ascii="仿宋" w:hAnsi="仿宋" w:eastAsia="仿宋" w:cs="仿宋"/>
          <w:color w:val="000000"/>
          <w:sz w:val="28"/>
          <w:szCs w:val="28"/>
        </w:rPr>
      </w:pPr>
      <w:r>
        <w:rPr>
          <w:rFonts w:hint="default" w:ascii="仿宋" w:hAnsi="仿宋" w:eastAsia="仿宋" w:cs="仿宋"/>
          <w:color w:val="000000"/>
          <w:sz w:val="28"/>
          <w:szCs w:val="28"/>
          <w:lang w:val="en-US" w:eastAsia="zh-CN"/>
        </w:rPr>
        <w:t>4）参加采购活动前3年内，在经营活动中没有重大违法记录。</w:t>
      </w:r>
    </w:p>
    <w:p w14:paraId="5CE6019F">
      <w:pPr>
        <w:tabs>
          <w:tab w:val="left" w:pos="735"/>
        </w:tabs>
        <w:spacing w:line="560" w:lineRule="exact"/>
        <w:ind w:firstLine="560" w:firstLineChars="200"/>
        <w:rPr>
          <w:rFonts w:hint="default" w:ascii="仿宋" w:hAnsi="仿宋" w:eastAsia="仿宋" w:cs="仿宋"/>
          <w:color w:val="000000"/>
          <w:sz w:val="28"/>
          <w:szCs w:val="28"/>
        </w:rPr>
      </w:pPr>
      <w:r>
        <w:rPr>
          <w:rFonts w:hint="default" w:ascii="仿宋" w:hAnsi="仿宋" w:eastAsia="仿宋" w:cs="仿宋"/>
          <w:color w:val="000000"/>
          <w:sz w:val="28"/>
          <w:szCs w:val="28"/>
          <w:lang w:val="en-US" w:eastAsia="zh-CN"/>
        </w:rPr>
        <w:t>2.本项目特定的资格要求：</w:t>
      </w:r>
    </w:p>
    <w:p w14:paraId="6B2BD4AD">
      <w:pPr>
        <w:tabs>
          <w:tab w:val="left" w:pos="735"/>
        </w:tabs>
        <w:spacing w:line="560" w:lineRule="exact"/>
        <w:ind w:firstLine="560" w:firstLineChars="200"/>
        <w:rPr>
          <w:rFonts w:hint="default" w:ascii="仿宋" w:hAnsi="仿宋" w:eastAsia="仿宋" w:cs="仿宋"/>
          <w:color w:val="000000"/>
          <w:sz w:val="28"/>
          <w:szCs w:val="28"/>
        </w:rPr>
      </w:pPr>
      <w:r>
        <w:rPr>
          <w:rFonts w:hint="default" w:ascii="仿宋" w:hAnsi="仿宋" w:eastAsia="仿宋" w:cs="仿宋"/>
          <w:color w:val="000000"/>
          <w:sz w:val="28"/>
          <w:szCs w:val="28"/>
          <w:lang w:val="en-US" w:eastAsia="zh-CN"/>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集中采购</w:t>
      </w:r>
      <w:bookmarkStart w:id="4" w:name="_GoBack"/>
      <w:bookmarkEnd w:id="4"/>
      <w:r>
        <w:rPr>
          <w:rFonts w:hint="default" w:ascii="仿宋" w:hAnsi="仿宋" w:eastAsia="仿宋" w:cs="仿宋"/>
          <w:color w:val="000000"/>
          <w:sz w:val="28"/>
          <w:szCs w:val="28"/>
          <w:lang w:val="en-US" w:eastAsia="zh-CN"/>
        </w:rPr>
        <w:t>机构于报价截止日当天在“信用中国”网站（www.creditchina.gov.cn）及中国政府采购网（http://www.ccgp.gov.cn/）查询结果为准，如相关失信记录已失效，报价人需提供相关证明资料）。</w:t>
      </w:r>
    </w:p>
    <w:p w14:paraId="6E4E43CB">
      <w:pPr>
        <w:tabs>
          <w:tab w:val="left" w:pos="735"/>
        </w:tabs>
        <w:spacing w:line="560" w:lineRule="exact"/>
        <w:ind w:firstLine="560" w:firstLineChars="200"/>
        <w:rPr>
          <w:rFonts w:hint="default"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2</w:t>
      </w:r>
      <w:r>
        <w:rPr>
          <w:rFonts w:hint="default" w:ascii="仿宋" w:hAnsi="仿宋" w:eastAsia="仿宋" w:cs="仿宋"/>
          <w:color w:val="000000"/>
          <w:sz w:val="28"/>
          <w:szCs w:val="28"/>
          <w:lang w:val="en-US" w:eastAsia="zh-CN"/>
        </w:rPr>
        <w:t>)本项目不允许联合体投标，不接受分包。</w:t>
      </w:r>
    </w:p>
    <w:p w14:paraId="075D996E">
      <w:pPr>
        <w:pStyle w:val="2"/>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五、采购项目付款方式</w:t>
      </w:r>
    </w:p>
    <w:p w14:paraId="66A9777A">
      <w:pPr>
        <w:tabs>
          <w:tab w:val="left" w:pos="735"/>
        </w:tabs>
        <w:spacing w:line="560" w:lineRule="exact"/>
        <w:ind w:firstLine="560" w:firstLineChars="2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1.合同签订后，甲方向乙方支付合同总款的30%。</w:t>
      </w:r>
    </w:p>
    <w:p w14:paraId="1BD8853E">
      <w:pPr>
        <w:tabs>
          <w:tab w:val="left" w:pos="735"/>
        </w:tabs>
        <w:spacing w:line="560" w:lineRule="exact"/>
        <w:ind w:firstLine="560" w:firstLineChars="200"/>
        <w:rPr>
          <w:rFonts w:hint="eastAsia" w:ascii="仿宋" w:hAnsi="仿宋" w:eastAsia="仿宋" w:cs="仿宋"/>
          <w:b/>
          <w:bCs/>
          <w:sz w:val="28"/>
          <w:szCs w:val="28"/>
          <w:lang w:val="en-US" w:eastAsia="zh-CN"/>
        </w:rPr>
      </w:pPr>
      <w:r>
        <w:rPr>
          <w:rFonts w:hint="eastAsia" w:ascii="仿宋" w:hAnsi="仿宋" w:eastAsia="仿宋" w:cs="仿宋"/>
          <w:color w:val="000000"/>
          <w:sz w:val="28"/>
          <w:szCs w:val="28"/>
          <w:lang w:val="en-US" w:eastAsia="zh-CN"/>
        </w:rPr>
        <w:t>2.完成验收工作后，乙方向甲方开具等值合法的增值税发票，待采购人完成相关支付手续后的10个工作日内付清款项给成交供应商。</w:t>
      </w:r>
    </w:p>
    <w:p w14:paraId="6C4DAC3D">
      <w:pPr>
        <w:spacing w:afterLines="0" w:line="360" w:lineRule="auto"/>
        <w:rPr>
          <w:rFonts w:hint="eastAsia" w:ascii="仿宋" w:hAnsi="仿宋" w:eastAsia="仿宋" w:cs="仿宋"/>
          <w:sz w:val="28"/>
          <w:szCs w:val="28"/>
          <w:lang w:eastAsia="zh-CN"/>
        </w:rPr>
      </w:pPr>
      <w:r>
        <w:rPr>
          <w:rFonts w:hint="eastAsia" w:ascii="仿宋" w:hAnsi="仿宋" w:eastAsia="仿宋" w:cs="仿宋"/>
          <w:b/>
          <w:bCs/>
          <w:sz w:val="28"/>
          <w:szCs w:val="28"/>
          <w:lang w:val="en-US" w:eastAsia="zh-CN"/>
        </w:rPr>
        <w:t>六</w:t>
      </w:r>
      <w:r>
        <w:rPr>
          <w:rFonts w:hint="eastAsia" w:ascii="仿宋" w:hAnsi="仿宋" w:eastAsia="仿宋" w:cs="仿宋"/>
          <w:b/>
          <w:bCs/>
          <w:sz w:val="28"/>
          <w:szCs w:val="28"/>
          <w:lang w:eastAsia="zh-CN"/>
        </w:rPr>
        <w:t>、验收监测清单</w:t>
      </w:r>
    </w:p>
    <w:tbl>
      <w:tblPr>
        <w:tblStyle w:val="7"/>
        <w:tblW w:w="8626"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12"/>
        <w:gridCol w:w="1245"/>
        <w:gridCol w:w="1320"/>
        <w:gridCol w:w="2985"/>
        <w:gridCol w:w="735"/>
        <w:gridCol w:w="750"/>
        <w:gridCol w:w="879"/>
      </w:tblGrid>
      <w:tr w14:paraId="016DBB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5" w:hRule="atLeast"/>
        </w:trPr>
        <w:tc>
          <w:tcPr>
            <w:tcW w:w="712" w:type="dxa"/>
            <w:tcBorders>
              <w:top w:val="single" w:color="000000" w:sz="4" w:space="0"/>
              <w:left w:val="single" w:color="000000" w:sz="8" w:space="0"/>
              <w:bottom w:val="single" w:color="000000" w:sz="4" w:space="0"/>
              <w:right w:val="single" w:color="000000" w:sz="4" w:space="0"/>
            </w:tcBorders>
            <w:shd w:val="clear" w:color="auto" w:fill="CCFFCC"/>
            <w:noWrap w:val="0"/>
            <w:vAlign w:val="center"/>
          </w:tcPr>
          <w:p w14:paraId="755FC6EE">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序号</w:t>
            </w:r>
          </w:p>
        </w:tc>
        <w:tc>
          <w:tcPr>
            <w:tcW w:w="1245" w:type="dxa"/>
            <w:tcBorders>
              <w:top w:val="single" w:color="000000" w:sz="4" w:space="0"/>
              <w:left w:val="single" w:color="000000" w:sz="4" w:space="0"/>
              <w:bottom w:val="single" w:color="000000" w:sz="4" w:space="0"/>
              <w:right w:val="single" w:color="000000" w:sz="4" w:space="0"/>
            </w:tcBorders>
            <w:shd w:val="clear" w:color="auto" w:fill="CCFFCC"/>
            <w:noWrap w:val="0"/>
            <w:vAlign w:val="center"/>
          </w:tcPr>
          <w:p w14:paraId="07338181">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样品类型</w:t>
            </w:r>
          </w:p>
        </w:tc>
        <w:tc>
          <w:tcPr>
            <w:tcW w:w="1320" w:type="dxa"/>
            <w:tcBorders>
              <w:top w:val="single" w:color="000000" w:sz="4" w:space="0"/>
              <w:left w:val="single" w:color="000000" w:sz="4" w:space="0"/>
              <w:bottom w:val="single" w:color="000000" w:sz="4" w:space="0"/>
              <w:right w:val="single" w:color="000000" w:sz="4" w:space="0"/>
            </w:tcBorders>
            <w:shd w:val="clear" w:color="auto" w:fill="CCFFCC"/>
            <w:noWrap w:val="0"/>
            <w:vAlign w:val="center"/>
          </w:tcPr>
          <w:p w14:paraId="4B695819">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样品/点位名称</w:t>
            </w:r>
          </w:p>
        </w:tc>
        <w:tc>
          <w:tcPr>
            <w:tcW w:w="2985" w:type="dxa"/>
            <w:tcBorders>
              <w:top w:val="single" w:color="000000" w:sz="4" w:space="0"/>
              <w:left w:val="single" w:color="000000" w:sz="4" w:space="0"/>
              <w:bottom w:val="single" w:color="000000" w:sz="4" w:space="0"/>
              <w:right w:val="single" w:color="000000" w:sz="4" w:space="0"/>
            </w:tcBorders>
            <w:shd w:val="clear" w:color="auto" w:fill="CCFFCC"/>
            <w:noWrap w:val="0"/>
            <w:vAlign w:val="center"/>
          </w:tcPr>
          <w:p w14:paraId="247C4FC7">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检测项目</w:t>
            </w:r>
          </w:p>
        </w:tc>
        <w:tc>
          <w:tcPr>
            <w:tcW w:w="735" w:type="dxa"/>
            <w:tcBorders>
              <w:top w:val="single" w:color="000000" w:sz="4" w:space="0"/>
              <w:left w:val="single" w:color="000000" w:sz="4" w:space="0"/>
              <w:bottom w:val="single" w:color="000000" w:sz="4" w:space="0"/>
              <w:right w:val="single" w:color="000000" w:sz="4" w:space="0"/>
            </w:tcBorders>
            <w:shd w:val="clear" w:color="auto" w:fill="CCFFCC"/>
            <w:noWrap w:val="0"/>
            <w:vAlign w:val="center"/>
          </w:tcPr>
          <w:p w14:paraId="76FC2AA7">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点位</w:t>
            </w:r>
          </w:p>
        </w:tc>
        <w:tc>
          <w:tcPr>
            <w:tcW w:w="750" w:type="dxa"/>
            <w:tcBorders>
              <w:top w:val="single" w:color="000000" w:sz="4" w:space="0"/>
              <w:left w:val="single" w:color="000000" w:sz="4" w:space="0"/>
              <w:bottom w:val="single" w:color="000000" w:sz="4" w:space="0"/>
              <w:right w:val="single" w:color="000000" w:sz="4" w:space="0"/>
            </w:tcBorders>
            <w:shd w:val="clear" w:color="auto" w:fill="CCFFCC"/>
            <w:noWrap w:val="0"/>
            <w:vAlign w:val="center"/>
          </w:tcPr>
          <w:p w14:paraId="6DCEE267">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次/天</w:t>
            </w:r>
          </w:p>
        </w:tc>
        <w:tc>
          <w:tcPr>
            <w:tcW w:w="879" w:type="dxa"/>
            <w:tcBorders>
              <w:top w:val="single" w:color="000000" w:sz="4" w:space="0"/>
              <w:left w:val="single" w:color="000000" w:sz="4" w:space="0"/>
              <w:bottom w:val="single" w:color="000000" w:sz="4" w:space="0"/>
              <w:right w:val="single" w:color="000000" w:sz="4" w:space="0"/>
            </w:tcBorders>
            <w:shd w:val="clear" w:color="auto" w:fill="CCFFCC"/>
            <w:noWrap w:val="0"/>
            <w:vAlign w:val="center"/>
          </w:tcPr>
          <w:p w14:paraId="753EA453">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天数</w:t>
            </w:r>
          </w:p>
        </w:tc>
      </w:tr>
      <w:tr w14:paraId="4D013D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60" w:hRule="atLeast"/>
        </w:trPr>
        <w:tc>
          <w:tcPr>
            <w:tcW w:w="712" w:type="dxa"/>
            <w:tcBorders>
              <w:top w:val="single" w:color="000000" w:sz="4" w:space="0"/>
              <w:left w:val="single" w:color="000000" w:sz="8" w:space="0"/>
              <w:bottom w:val="single" w:color="000000" w:sz="4" w:space="0"/>
              <w:right w:val="single" w:color="000000" w:sz="4" w:space="0"/>
            </w:tcBorders>
            <w:noWrap w:val="0"/>
            <w:vAlign w:val="center"/>
          </w:tcPr>
          <w:p w14:paraId="73E0BA71">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14:paraId="310E01ED">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医疗废水</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14:paraId="6A5E1C49">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综合废水出水口</w:t>
            </w:r>
          </w:p>
        </w:tc>
        <w:tc>
          <w:tcPr>
            <w:tcW w:w="2985" w:type="dxa"/>
            <w:tcBorders>
              <w:top w:val="single" w:color="000000" w:sz="4" w:space="0"/>
              <w:left w:val="single" w:color="000000" w:sz="4" w:space="0"/>
              <w:bottom w:val="single" w:color="000000" w:sz="4" w:space="0"/>
              <w:right w:val="single" w:color="000000" w:sz="4" w:space="0"/>
            </w:tcBorders>
            <w:noWrap w:val="0"/>
            <w:vAlign w:val="center"/>
          </w:tcPr>
          <w:p w14:paraId="75E02CD3">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pH值、化学需氧量、五日生化需氧量、悬浮物、氨氮、粪大肠菌群、动植物油类、石油类、阴离子表面活性剂、挥发酚、总氰化物、总氯</w:t>
            </w:r>
          </w:p>
        </w:tc>
        <w:tc>
          <w:tcPr>
            <w:tcW w:w="735" w:type="dxa"/>
            <w:tcBorders>
              <w:top w:val="single" w:color="000000" w:sz="4" w:space="0"/>
              <w:left w:val="single" w:color="000000" w:sz="4" w:space="0"/>
              <w:bottom w:val="single" w:color="000000" w:sz="4" w:space="0"/>
              <w:right w:val="single" w:color="000000" w:sz="4" w:space="0"/>
            </w:tcBorders>
            <w:noWrap w:val="0"/>
            <w:vAlign w:val="center"/>
          </w:tcPr>
          <w:p w14:paraId="515BD18F">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750" w:type="dxa"/>
            <w:tcBorders>
              <w:top w:val="single" w:color="000000" w:sz="4" w:space="0"/>
              <w:left w:val="single" w:color="000000" w:sz="4" w:space="0"/>
              <w:bottom w:val="single" w:color="000000" w:sz="4" w:space="0"/>
              <w:right w:val="single" w:color="000000" w:sz="4" w:space="0"/>
            </w:tcBorders>
            <w:noWrap w:val="0"/>
            <w:vAlign w:val="center"/>
          </w:tcPr>
          <w:p w14:paraId="49454214">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w:t>
            </w:r>
          </w:p>
        </w:tc>
        <w:tc>
          <w:tcPr>
            <w:tcW w:w="879" w:type="dxa"/>
            <w:tcBorders>
              <w:top w:val="single" w:color="000000" w:sz="4" w:space="0"/>
              <w:left w:val="single" w:color="000000" w:sz="4" w:space="0"/>
              <w:bottom w:val="single" w:color="000000" w:sz="4" w:space="0"/>
              <w:right w:val="single" w:color="000000" w:sz="4" w:space="0"/>
            </w:tcBorders>
            <w:noWrap w:val="0"/>
            <w:vAlign w:val="center"/>
          </w:tcPr>
          <w:p w14:paraId="1313CA43">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r>
      <w:tr w14:paraId="6C24E8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12" w:type="dxa"/>
            <w:tcBorders>
              <w:top w:val="single" w:color="000000" w:sz="4" w:space="0"/>
              <w:left w:val="single" w:color="000000" w:sz="8" w:space="0"/>
              <w:bottom w:val="single" w:color="000000" w:sz="4" w:space="0"/>
              <w:right w:val="single" w:color="000000" w:sz="4" w:space="0"/>
            </w:tcBorders>
            <w:noWrap w:val="0"/>
            <w:vAlign w:val="center"/>
          </w:tcPr>
          <w:p w14:paraId="4587C749">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14:paraId="1B542F9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无组织废气</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14:paraId="5A7E3EF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污水站上风向参照点1#</w:t>
            </w:r>
          </w:p>
        </w:tc>
        <w:tc>
          <w:tcPr>
            <w:tcW w:w="2985" w:type="dxa"/>
            <w:tcBorders>
              <w:top w:val="single" w:color="000000" w:sz="4" w:space="0"/>
              <w:left w:val="single" w:color="000000" w:sz="4" w:space="0"/>
              <w:bottom w:val="single" w:color="000000" w:sz="4" w:space="0"/>
              <w:right w:val="single" w:color="000000" w:sz="4" w:space="0"/>
            </w:tcBorders>
            <w:noWrap w:val="0"/>
            <w:vAlign w:val="center"/>
          </w:tcPr>
          <w:p w14:paraId="6C70FA97">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臭气浓度、氨、硫化氢、甲烷、氯气</w:t>
            </w:r>
          </w:p>
        </w:tc>
        <w:tc>
          <w:tcPr>
            <w:tcW w:w="735" w:type="dxa"/>
            <w:tcBorders>
              <w:top w:val="single" w:color="000000" w:sz="4" w:space="0"/>
              <w:left w:val="single" w:color="000000" w:sz="4" w:space="0"/>
              <w:bottom w:val="single" w:color="000000" w:sz="4" w:space="0"/>
              <w:right w:val="single" w:color="000000" w:sz="4" w:space="0"/>
            </w:tcBorders>
            <w:noWrap w:val="0"/>
            <w:vAlign w:val="center"/>
          </w:tcPr>
          <w:p w14:paraId="2E4FA09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750" w:type="dxa"/>
            <w:tcBorders>
              <w:top w:val="single" w:color="000000" w:sz="4" w:space="0"/>
              <w:left w:val="single" w:color="000000" w:sz="4" w:space="0"/>
              <w:bottom w:val="single" w:color="000000" w:sz="4" w:space="0"/>
              <w:right w:val="single" w:color="000000" w:sz="4" w:space="0"/>
            </w:tcBorders>
            <w:noWrap w:val="0"/>
            <w:vAlign w:val="center"/>
          </w:tcPr>
          <w:p w14:paraId="05F028F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w:t>
            </w:r>
          </w:p>
        </w:tc>
        <w:tc>
          <w:tcPr>
            <w:tcW w:w="879" w:type="dxa"/>
            <w:tcBorders>
              <w:top w:val="single" w:color="000000" w:sz="4" w:space="0"/>
              <w:left w:val="single" w:color="000000" w:sz="4" w:space="0"/>
              <w:bottom w:val="single" w:color="000000" w:sz="4" w:space="0"/>
              <w:right w:val="single" w:color="000000" w:sz="4" w:space="0"/>
            </w:tcBorders>
            <w:noWrap w:val="0"/>
            <w:vAlign w:val="center"/>
          </w:tcPr>
          <w:p w14:paraId="209FA83F">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r>
      <w:tr w14:paraId="2B5A93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12" w:type="dxa"/>
            <w:tcBorders>
              <w:top w:val="single" w:color="000000" w:sz="4" w:space="0"/>
              <w:left w:val="single" w:color="000000" w:sz="8" w:space="0"/>
              <w:bottom w:val="single" w:color="000000" w:sz="4" w:space="0"/>
              <w:right w:val="single" w:color="000000" w:sz="4" w:space="0"/>
            </w:tcBorders>
            <w:noWrap w:val="0"/>
            <w:vAlign w:val="center"/>
          </w:tcPr>
          <w:p w14:paraId="22A1144E">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14:paraId="17C688D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无组织废气</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14:paraId="7EECA764">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污水站下风向监控点2#</w:t>
            </w:r>
          </w:p>
        </w:tc>
        <w:tc>
          <w:tcPr>
            <w:tcW w:w="2985" w:type="dxa"/>
            <w:tcBorders>
              <w:top w:val="single" w:color="000000" w:sz="4" w:space="0"/>
              <w:left w:val="single" w:color="000000" w:sz="4" w:space="0"/>
              <w:bottom w:val="single" w:color="000000" w:sz="4" w:space="0"/>
              <w:right w:val="single" w:color="000000" w:sz="4" w:space="0"/>
            </w:tcBorders>
            <w:noWrap w:val="0"/>
            <w:vAlign w:val="center"/>
          </w:tcPr>
          <w:p w14:paraId="1E64758D">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臭气浓度、氨、硫化氢、甲烷、氯气</w:t>
            </w:r>
          </w:p>
        </w:tc>
        <w:tc>
          <w:tcPr>
            <w:tcW w:w="735" w:type="dxa"/>
            <w:tcBorders>
              <w:top w:val="single" w:color="000000" w:sz="4" w:space="0"/>
              <w:left w:val="single" w:color="000000" w:sz="4" w:space="0"/>
              <w:bottom w:val="single" w:color="000000" w:sz="4" w:space="0"/>
              <w:right w:val="single" w:color="000000" w:sz="4" w:space="0"/>
            </w:tcBorders>
            <w:noWrap w:val="0"/>
            <w:vAlign w:val="center"/>
          </w:tcPr>
          <w:p w14:paraId="5F78DA42">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750" w:type="dxa"/>
            <w:tcBorders>
              <w:top w:val="single" w:color="000000" w:sz="4" w:space="0"/>
              <w:left w:val="single" w:color="000000" w:sz="4" w:space="0"/>
              <w:bottom w:val="single" w:color="000000" w:sz="4" w:space="0"/>
              <w:right w:val="single" w:color="000000" w:sz="4" w:space="0"/>
            </w:tcBorders>
            <w:noWrap w:val="0"/>
            <w:vAlign w:val="center"/>
          </w:tcPr>
          <w:p w14:paraId="565A1877">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w:t>
            </w:r>
          </w:p>
        </w:tc>
        <w:tc>
          <w:tcPr>
            <w:tcW w:w="879" w:type="dxa"/>
            <w:tcBorders>
              <w:top w:val="single" w:color="000000" w:sz="4" w:space="0"/>
              <w:left w:val="single" w:color="000000" w:sz="4" w:space="0"/>
              <w:bottom w:val="single" w:color="000000" w:sz="4" w:space="0"/>
              <w:right w:val="single" w:color="000000" w:sz="4" w:space="0"/>
            </w:tcBorders>
            <w:noWrap w:val="0"/>
            <w:vAlign w:val="center"/>
          </w:tcPr>
          <w:p w14:paraId="42113CC4">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r>
      <w:tr w14:paraId="625601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12" w:type="dxa"/>
            <w:tcBorders>
              <w:top w:val="single" w:color="000000" w:sz="4" w:space="0"/>
              <w:left w:val="single" w:color="000000" w:sz="8" w:space="0"/>
              <w:bottom w:val="single" w:color="000000" w:sz="4" w:space="0"/>
              <w:right w:val="single" w:color="000000" w:sz="4" w:space="0"/>
            </w:tcBorders>
            <w:noWrap w:val="0"/>
            <w:vAlign w:val="center"/>
          </w:tcPr>
          <w:p w14:paraId="05B2CBC4">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14:paraId="7DB61FA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无组织废气</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14:paraId="46D6CEB4">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污水站下风向监控点3#</w:t>
            </w:r>
          </w:p>
        </w:tc>
        <w:tc>
          <w:tcPr>
            <w:tcW w:w="2985" w:type="dxa"/>
            <w:tcBorders>
              <w:top w:val="single" w:color="000000" w:sz="4" w:space="0"/>
              <w:left w:val="single" w:color="000000" w:sz="4" w:space="0"/>
              <w:bottom w:val="single" w:color="000000" w:sz="4" w:space="0"/>
              <w:right w:val="single" w:color="000000" w:sz="4" w:space="0"/>
            </w:tcBorders>
            <w:noWrap w:val="0"/>
            <w:vAlign w:val="center"/>
          </w:tcPr>
          <w:p w14:paraId="62491440">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臭气浓度、氨、硫化氢、甲烷、氯气</w:t>
            </w:r>
          </w:p>
        </w:tc>
        <w:tc>
          <w:tcPr>
            <w:tcW w:w="735" w:type="dxa"/>
            <w:tcBorders>
              <w:top w:val="single" w:color="000000" w:sz="4" w:space="0"/>
              <w:left w:val="single" w:color="000000" w:sz="4" w:space="0"/>
              <w:bottom w:val="single" w:color="000000" w:sz="4" w:space="0"/>
              <w:right w:val="single" w:color="000000" w:sz="4" w:space="0"/>
            </w:tcBorders>
            <w:noWrap w:val="0"/>
            <w:vAlign w:val="center"/>
          </w:tcPr>
          <w:p w14:paraId="4C496422">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750" w:type="dxa"/>
            <w:tcBorders>
              <w:top w:val="single" w:color="000000" w:sz="4" w:space="0"/>
              <w:left w:val="single" w:color="000000" w:sz="4" w:space="0"/>
              <w:bottom w:val="single" w:color="000000" w:sz="4" w:space="0"/>
              <w:right w:val="single" w:color="000000" w:sz="4" w:space="0"/>
            </w:tcBorders>
            <w:noWrap w:val="0"/>
            <w:vAlign w:val="center"/>
          </w:tcPr>
          <w:p w14:paraId="71ED073D">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w:t>
            </w:r>
          </w:p>
        </w:tc>
        <w:tc>
          <w:tcPr>
            <w:tcW w:w="879" w:type="dxa"/>
            <w:tcBorders>
              <w:top w:val="single" w:color="000000" w:sz="4" w:space="0"/>
              <w:left w:val="single" w:color="000000" w:sz="4" w:space="0"/>
              <w:bottom w:val="single" w:color="000000" w:sz="4" w:space="0"/>
              <w:right w:val="single" w:color="000000" w:sz="4" w:space="0"/>
            </w:tcBorders>
            <w:noWrap w:val="0"/>
            <w:vAlign w:val="center"/>
          </w:tcPr>
          <w:p w14:paraId="6D8AB8B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r>
      <w:tr w14:paraId="45BE3D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712" w:type="dxa"/>
            <w:tcBorders>
              <w:top w:val="single" w:color="000000" w:sz="4" w:space="0"/>
              <w:left w:val="single" w:color="000000" w:sz="8" w:space="0"/>
              <w:bottom w:val="single" w:color="000000" w:sz="4" w:space="0"/>
              <w:right w:val="single" w:color="000000" w:sz="4" w:space="0"/>
            </w:tcBorders>
            <w:noWrap w:val="0"/>
            <w:vAlign w:val="center"/>
          </w:tcPr>
          <w:p w14:paraId="6DCC6F5C">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14:paraId="66F6B170">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无组织废气</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14:paraId="0C48783F">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污水站下风向监控点4#</w:t>
            </w:r>
          </w:p>
        </w:tc>
        <w:tc>
          <w:tcPr>
            <w:tcW w:w="2985" w:type="dxa"/>
            <w:tcBorders>
              <w:top w:val="single" w:color="000000" w:sz="4" w:space="0"/>
              <w:left w:val="single" w:color="000000" w:sz="4" w:space="0"/>
              <w:bottom w:val="single" w:color="000000" w:sz="4" w:space="0"/>
              <w:right w:val="single" w:color="000000" w:sz="4" w:space="0"/>
            </w:tcBorders>
            <w:noWrap w:val="0"/>
            <w:vAlign w:val="center"/>
          </w:tcPr>
          <w:p w14:paraId="25F4F067">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臭气浓度、氨、硫化氢、甲烷、氯气</w:t>
            </w:r>
          </w:p>
        </w:tc>
        <w:tc>
          <w:tcPr>
            <w:tcW w:w="735" w:type="dxa"/>
            <w:tcBorders>
              <w:top w:val="single" w:color="000000" w:sz="4" w:space="0"/>
              <w:left w:val="single" w:color="000000" w:sz="4" w:space="0"/>
              <w:bottom w:val="single" w:color="000000" w:sz="4" w:space="0"/>
              <w:right w:val="single" w:color="000000" w:sz="4" w:space="0"/>
            </w:tcBorders>
            <w:noWrap w:val="0"/>
            <w:vAlign w:val="center"/>
          </w:tcPr>
          <w:p w14:paraId="3674B11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750" w:type="dxa"/>
            <w:tcBorders>
              <w:top w:val="single" w:color="000000" w:sz="4" w:space="0"/>
              <w:left w:val="single" w:color="000000" w:sz="4" w:space="0"/>
              <w:bottom w:val="single" w:color="000000" w:sz="4" w:space="0"/>
              <w:right w:val="single" w:color="000000" w:sz="4" w:space="0"/>
            </w:tcBorders>
            <w:noWrap w:val="0"/>
            <w:vAlign w:val="center"/>
          </w:tcPr>
          <w:p w14:paraId="576828E4">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w:t>
            </w:r>
          </w:p>
        </w:tc>
        <w:tc>
          <w:tcPr>
            <w:tcW w:w="879" w:type="dxa"/>
            <w:tcBorders>
              <w:top w:val="single" w:color="000000" w:sz="4" w:space="0"/>
              <w:left w:val="single" w:color="000000" w:sz="4" w:space="0"/>
              <w:bottom w:val="single" w:color="000000" w:sz="4" w:space="0"/>
              <w:right w:val="single" w:color="000000" w:sz="4" w:space="0"/>
            </w:tcBorders>
            <w:noWrap w:val="0"/>
            <w:vAlign w:val="center"/>
          </w:tcPr>
          <w:p w14:paraId="6A0A7733">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r>
      <w:tr w14:paraId="0E756B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0" w:hRule="atLeast"/>
        </w:trPr>
        <w:tc>
          <w:tcPr>
            <w:tcW w:w="712" w:type="dxa"/>
            <w:tcBorders>
              <w:top w:val="single" w:color="000000" w:sz="4" w:space="0"/>
              <w:left w:val="single" w:color="000000" w:sz="8" w:space="0"/>
              <w:bottom w:val="single" w:color="000000" w:sz="4" w:space="0"/>
              <w:right w:val="single" w:color="000000" w:sz="4" w:space="0"/>
            </w:tcBorders>
            <w:noWrap w:val="0"/>
            <w:vAlign w:val="center"/>
          </w:tcPr>
          <w:p w14:paraId="1FFFBAF5">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14:paraId="6D0D53F4">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工业企业厂界环境噪声</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14:paraId="0B4D9F1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场界四周外1米处N1N2N3N4</w:t>
            </w:r>
          </w:p>
        </w:tc>
        <w:tc>
          <w:tcPr>
            <w:tcW w:w="2985" w:type="dxa"/>
            <w:tcBorders>
              <w:top w:val="single" w:color="000000" w:sz="4" w:space="0"/>
              <w:left w:val="single" w:color="000000" w:sz="4" w:space="0"/>
              <w:bottom w:val="single" w:color="000000" w:sz="4" w:space="0"/>
              <w:right w:val="single" w:color="000000" w:sz="4" w:space="0"/>
            </w:tcBorders>
            <w:noWrap w:val="0"/>
            <w:vAlign w:val="center"/>
          </w:tcPr>
          <w:p w14:paraId="3DB4F26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工业企业厂界环境噪声（昼间）、工业企业厂界环境噪声（夜间）</w:t>
            </w:r>
          </w:p>
        </w:tc>
        <w:tc>
          <w:tcPr>
            <w:tcW w:w="735" w:type="dxa"/>
            <w:tcBorders>
              <w:top w:val="single" w:color="000000" w:sz="4" w:space="0"/>
              <w:left w:val="single" w:color="000000" w:sz="4" w:space="0"/>
              <w:bottom w:val="single" w:color="000000" w:sz="4" w:space="0"/>
              <w:right w:val="single" w:color="000000" w:sz="4" w:space="0"/>
            </w:tcBorders>
            <w:noWrap w:val="0"/>
            <w:vAlign w:val="center"/>
          </w:tcPr>
          <w:p w14:paraId="389BA54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w:t>
            </w:r>
          </w:p>
        </w:tc>
        <w:tc>
          <w:tcPr>
            <w:tcW w:w="750" w:type="dxa"/>
            <w:tcBorders>
              <w:top w:val="single" w:color="000000" w:sz="4" w:space="0"/>
              <w:left w:val="single" w:color="000000" w:sz="4" w:space="0"/>
              <w:bottom w:val="single" w:color="000000" w:sz="4" w:space="0"/>
              <w:right w:val="single" w:color="000000" w:sz="4" w:space="0"/>
            </w:tcBorders>
            <w:noWrap w:val="0"/>
            <w:vAlign w:val="center"/>
          </w:tcPr>
          <w:p w14:paraId="337A32C8">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879" w:type="dxa"/>
            <w:tcBorders>
              <w:top w:val="single" w:color="000000" w:sz="4" w:space="0"/>
              <w:left w:val="single" w:color="000000" w:sz="4" w:space="0"/>
              <w:bottom w:val="single" w:color="000000" w:sz="4" w:space="0"/>
              <w:right w:val="single" w:color="000000" w:sz="4" w:space="0"/>
            </w:tcBorders>
            <w:noWrap w:val="0"/>
            <w:vAlign w:val="center"/>
          </w:tcPr>
          <w:p w14:paraId="77528F85">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r>
    </w:tbl>
    <w:p w14:paraId="4E47AF6C">
      <w:pPr>
        <w:numPr>
          <w:ilvl w:val="0"/>
          <w:numId w:val="0"/>
        </w:numPr>
        <w:ind w:leftChars="0"/>
        <w:jc w:val="both"/>
        <w:rPr>
          <w:rFonts w:hint="eastAsia" w:ascii="仿宋" w:hAnsi="仿宋" w:eastAsia="仿宋" w:cs="仿宋"/>
          <w:b w:val="0"/>
          <w:bCs/>
          <w:sz w:val="28"/>
          <w:szCs w:val="28"/>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c1NDVmY2E5M2E4Zjg1ZWM3OTQ2YzI2MTMyZjhjZjQifQ=="/>
  </w:docVars>
  <w:rsids>
    <w:rsidRoot w:val="54571320"/>
    <w:rsid w:val="1E623A1B"/>
    <w:rsid w:val="3E340419"/>
    <w:rsid w:val="44E2394E"/>
    <w:rsid w:val="51516284"/>
    <w:rsid w:val="51623507"/>
    <w:rsid w:val="54571320"/>
    <w:rsid w:val="59694E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paragraph" w:styleId="5">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6">
    <w:name w:val="Title"/>
    <w:basedOn w:val="1"/>
    <w:qFormat/>
    <w:uiPriority w:val="0"/>
    <w:pPr>
      <w:spacing w:before="240" w:beforeLines="0" w:beforeAutospacing="0" w:after="60" w:afterLines="0" w:afterAutospacing="0"/>
      <w:jc w:val="center"/>
      <w:outlineLvl w:val="0"/>
    </w:pPr>
    <w:rPr>
      <w:rFonts w:ascii="Arial" w:hAnsi="Arial"/>
      <w:b/>
      <w:sz w:val="32"/>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2059</Words>
  <Characters>2217</Characters>
  <Lines>0</Lines>
  <Paragraphs>0</Paragraphs>
  <TotalTime>9</TotalTime>
  <ScaleCrop>false</ScaleCrop>
  <LinksUpToDate>false</LinksUpToDate>
  <CharactersWithSpaces>2225</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2024-11-06T03:24:00Z</dcterms:created>
  <dc:creator>嘉霖</dc:creator>
  <cp:lastModifiedBy>嘉霖</cp:lastModifiedBy>
  <dcterms:modified xsi:type="dcterms:W3CDTF">2024-11-11T08:45:15Z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39720B7DD4B741A6BDF47A78D4C18449_13</vt:lpwstr>
  </property>
</Properties>
</file>