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tabs>
          <w:tab w:val="left" w:pos="690"/>
          <w:tab w:val="left" w:pos="4059"/>
        </w:tabs>
        <w:jc w:val="center"/>
        <w:rPr>
          <w:rFonts w:hint="default"/>
          <w:lang w:val="en-US" w:eastAsia="zh-CN"/>
        </w:rPr>
      </w:pPr>
      <w:r>
        <w:rPr>
          <w:rFonts w:hint="eastAsia"/>
          <w:lang w:val="en-US" w:eastAsia="zh-CN"/>
        </w:rPr>
        <w:t>广东省妇幼保健院五级电子病历改造项目（包4）</w:t>
      </w:r>
    </w:p>
    <w:p>
      <w:pPr>
        <w:rPr>
          <w:rFonts w:hint="eastAsia" w:ascii="Times New Roman" w:hAnsi="Times New Roman" w:eastAsia="宋体" w:cs="Times New Roman"/>
          <w:b/>
          <w:kern w:val="44"/>
          <w:sz w:val="36"/>
          <w:szCs w:val="24"/>
          <w:lang w:val="en-US" w:eastAsia="zh-CN" w:bidi="ar-SA"/>
        </w:rPr>
      </w:pPr>
      <w:r>
        <w:rPr>
          <w:rFonts w:hint="eastAsia" w:ascii="Times New Roman" w:hAnsi="Times New Roman" w:eastAsia="宋体" w:cs="Times New Roman"/>
          <w:b/>
          <w:kern w:val="44"/>
          <w:sz w:val="36"/>
          <w:szCs w:val="24"/>
          <w:lang w:val="en-US" w:eastAsia="zh-CN" w:bidi="ar-SA"/>
        </w:rPr>
        <w:t>建设范围</w:t>
      </w:r>
    </w:p>
    <w:tbl>
      <w:tblPr>
        <w:tblStyle w:val="26"/>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2142"/>
        <w:gridCol w:w="4329"/>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26" w:type="dxa"/>
            <w:shd w:val="clear" w:color="000000" w:fill="BFBFBF"/>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序号</w:t>
            </w:r>
          </w:p>
        </w:tc>
        <w:tc>
          <w:tcPr>
            <w:tcW w:w="2142" w:type="dxa"/>
            <w:shd w:val="clear" w:color="000000" w:fill="BFBFBF"/>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建设内容</w:t>
            </w:r>
          </w:p>
        </w:tc>
        <w:tc>
          <w:tcPr>
            <w:tcW w:w="4329" w:type="dxa"/>
            <w:shd w:val="clear" w:color="000000" w:fill="BFBFBF"/>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主要需求</w:t>
            </w:r>
          </w:p>
        </w:tc>
        <w:tc>
          <w:tcPr>
            <w:tcW w:w="2763" w:type="dxa"/>
            <w:shd w:val="clear" w:color="000000" w:fill="BFBFBF"/>
            <w:vAlign w:val="center"/>
          </w:tcPr>
          <w:p>
            <w:pPr>
              <w:widowControl/>
              <w:spacing w:line="240" w:lineRule="auto"/>
              <w:jc w:val="center"/>
              <w:rPr>
                <w:rFonts w:hint="eastAsia" w:ascii="宋体" w:hAnsi="宋体" w:eastAsia="宋体" w:cs="宋体"/>
                <w:b/>
                <w:bCs/>
                <w:color w:val="000000"/>
                <w:kern w:val="0"/>
                <w:lang w:val="en-US" w:eastAsia="zh-CN"/>
              </w:rPr>
            </w:pPr>
            <w:r>
              <w:rPr>
                <w:rFonts w:hint="eastAsia" w:ascii="宋体" w:hAnsi="宋体" w:cs="宋体"/>
                <w:b/>
                <w:bCs/>
                <w:color w:val="000000"/>
                <w:kern w:val="0"/>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26" w:type="dxa"/>
            <w:shd w:val="clear" w:color="auto" w:fill="auto"/>
            <w:noWrap/>
            <w:vAlign w:val="center"/>
          </w:tcPr>
          <w:p>
            <w:pPr>
              <w:widowControl/>
              <w:spacing w:line="240" w:lineRule="auto"/>
              <w:jc w:val="center"/>
              <w:rPr>
                <w:rFonts w:hint="eastAsia" w:ascii="宋体" w:hAnsi="宋体" w:eastAsia="宋体" w:cs="宋体"/>
                <w:color w:val="000000"/>
                <w:kern w:val="0"/>
                <w:lang w:eastAsia="zh-CN"/>
              </w:rPr>
            </w:pPr>
            <w:r>
              <w:rPr>
                <w:rFonts w:hint="eastAsia" w:ascii="宋体" w:hAnsi="宋体" w:cs="宋体"/>
                <w:color w:val="000000"/>
                <w:kern w:val="0"/>
                <w:lang w:val="en-US" w:eastAsia="zh-CN"/>
              </w:rPr>
              <w:t>1</w:t>
            </w:r>
          </w:p>
        </w:tc>
        <w:tc>
          <w:tcPr>
            <w:tcW w:w="2142" w:type="dxa"/>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电子病历5及测评改造及咨询服务</w:t>
            </w:r>
          </w:p>
        </w:tc>
        <w:tc>
          <w:tcPr>
            <w:tcW w:w="4329" w:type="dxa"/>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电子病历数据质量提升。相关业务系统改造。</w:t>
            </w:r>
          </w:p>
          <w:p>
            <w:pPr>
              <w:widowControl/>
              <w:spacing w:line="240" w:lineRule="auto"/>
              <w:jc w:val="left"/>
              <w:rPr>
                <w:rFonts w:hint="eastAsia" w:ascii="宋体" w:hAnsi="宋体" w:cs="宋体"/>
                <w:color w:val="000000"/>
                <w:kern w:val="0"/>
              </w:rPr>
            </w:pPr>
            <w:r>
              <w:rPr>
                <w:rFonts w:hint="eastAsia" w:ascii="宋体" w:hAnsi="宋体" w:cs="宋体"/>
                <w:color w:val="000000"/>
                <w:kern w:val="0"/>
              </w:rPr>
              <w:t>电子病历五级调研分析服务、标准解析服务、评级上报服务</w:t>
            </w:r>
            <w:r>
              <w:rPr>
                <w:rFonts w:hint="eastAsia" w:ascii="宋体" w:hAnsi="宋体" w:cs="宋体"/>
                <w:color w:val="000000"/>
                <w:kern w:val="0"/>
              </w:rPr>
              <w:br w:type="textWrapping"/>
            </w:r>
            <w:r>
              <w:rPr>
                <w:rFonts w:hint="eastAsia" w:ascii="宋体" w:hAnsi="宋体" w:cs="宋体"/>
                <w:color w:val="000000"/>
                <w:kern w:val="0"/>
              </w:rPr>
              <w:t>文审咨询服务、培训服务、模拟实证服务、现场查验咨询服务</w:t>
            </w:r>
          </w:p>
        </w:tc>
        <w:tc>
          <w:tcPr>
            <w:tcW w:w="2763" w:type="dxa"/>
            <w:shd w:val="clear" w:color="auto" w:fill="auto"/>
            <w:vAlign w:val="center"/>
          </w:tcPr>
          <w:p>
            <w:pPr>
              <w:widowControl/>
              <w:spacing w:line="240" w:lineRule="auto"/>
              <w:jc w:val="center"/>
              <w:rPr>
                <w:rFonts w:hint="default" w:ascii="宋体" w:hAnsi="宋体" w:eastAsia="宋体" w:cs="宋体"/>
                <w:color w:val="000000"/>
                <w:kern w:val="0"/>
                <w:lang w:val="en-US" w:eastAsia="zh-CN"/>
              </w:rPr>
            </w:pPr>
            <w:r>
              <w:rPr>
                <w:rFonts w:hint="eastAsia" w:ascii="微软雅黑" w:hAnsi="微软雅黑" w:eastAsia="微软雅黑" w:cs="微软雅黑"/>
                <w:i w:val="0"/>
                <w:iCs w:val="0"/>
                <w:caps w:val="0"/>
                <w:color w:val="383838"/>
                <w:spacing w:val="0"/>
                <w:sz w:val="22"/>
                <w:szCs w:val="22"/>
                <w:shd w:val="clear" w:fill="FFFFFF"/>
                <w:lang w:val="en-US" w:eastAsia="zh-CN"/>
              </w:rPr>
              <w:t>-</w:t>
            </w:r>
            <w:bookmarkStart w:id="0" w:name="_GoBack"/>
            <w:bookmarkEnd w:id="0"/>
          </w:p>
        </w:tc>
      </w:tr>
    </w:tbl>
    <w:p>
      <w:pPr>
        <w:pStyle w:val="3"/>
      </w:pPr>
      <w:r>
        <w:rPr>
          <w:rFonts w:hint="eastAsia"/>
        </w:rPr>
        <w:t>总体要求</w:t>
      </w:r>
    </w:p>
    <w:p>
      <w:pPr>
        <w:ind w:firstLine="480" w:firstLineChars="200"/>
      </w:pPr>
      <w:r>
        <w:rPr>
          <w:rFonts w:hint="eastAsia"/>
        </w:rPr>
        <w:t>电子病历五级的建设是在四级全院信息共享和初级医疗决策支持的基础上，主要围绕“统一数据管理，中级医疗决策支持”这一目标展开，涉及多个方面的系统、技术、应用建设与改造。其重点在于数据的标准化治理，构建全院统一的知识库和临床数据仓库，实现多系统数据的互联互通与共享应用，为医护人员提供实时的诊疗提示与风险预警，提升医疗质量与效率，减少医疗差错。这一建设不仅有助于优化医疗服务流程，提高患者就医体验，也是公立医院高质量发展和智慧医院建设的关键环节，是医院的信息化建设发展目标和重要路径。</w:t>
      </w:r>
    </w:p>
    <w:p>
      <w:pPr>
        <w:ind w:firstLine="480" w:firstLineChars="200"/>
        <w:rPr>
          <w:rFonts w:hint="eastAsia"/>
        </w:rPr>
      </w:pPr>
      <w:r>
        <w:rPr>
          <w:rFonts w:hint="eastAsia"/>
        </w:rPr>
        <w:t>1、与医院现有的电子病历五级测评相关系统进行对接，如HIS系统、CIS系统、移动护理系统、院感系统、手麻系统、检验系统、检查系统、输血系统等的业务系统对接，包含所有本次项目第三方厂家接口改造费用、对接费用。</w:t>
      </w:r>
    </w:p>
    <w:p>
      <w:pPr>
        <w:ind w:firstLine="480" w:firstLineChars="200"/>
        <w:rPr>
          <w:rFonts w:hint="eastAsia"/>
        </w:rPr>
      </w:pPr>
      <w:r>
        <w:rPr>
          <w:rFonts w:hint="eastAsia"/>
        </w:rPr>
        <w:t>2、在免费维护服务期内，免费提供第三方业务系统对接。</w:t>
      </w:r>
    </w:p>
    <w:p>
      <w:pPr>
        <w:pStyle w:val="15"/>
        <w:ind w:firstLine="480" w:firstLineChars="200"/>
      </w:pPr>
      <w:r>
        <w:rPr>
          <w:rFonts w:hint="eastAsia"/>
        </w:rPr>
        <w:t>3、遵循但不限于以下标准和规范：</w:t>
      </w:r>
    </w:p>
    <w:p>
      <w:pPr>
        <w:pStyle w:val="15"/>
        <w:numPr>
          <w:ilvl w:val="0"/>
          <w:numId w:val="2"/>
        </w:numPr>
      </w:pPr>
      <w:r>
        <w:rPr>
          <w:rFonts w:hint="eastAsia"/>
        </w:rPr>
        <w:t>《“健康中国2030”规划》国务院2016-10-25</w:t>
      </w:r>
    </w:p>
    <w:p>
      <w:pPr>
        <w:pStyle w:val="15"/>
        <w:numPr>
          <w:ilvl w:val="0"/>
          <w:numId w:val="2"/>
        </w:numPr>
        <w:rPr>
          <w:rFonts w:hint="eastAsia"/>
        </w:rPr>
      </w:pPr>
      <w:r>
        <w:rPr>
          <w:rFonts w:hint="eastAsia"/>
        </w:rPr>
        <w:t>《国务院办公厅关于促进和规范健康医疗大数据应用发展的指导意见》国办发〔2016〕47号</w:t>
      </w:r>
    </w:p>
    <w:p>
      <w:pPr>
        <w:pStyle w:val="15"/>
        <w:numPr>
          <w:ilvl w:val="0"/>
          <w:numId w:val="2"/>
        </w:numPr>
      </w:pPr>
      <w:r>
        <w:rPr>
          <w:rFonts w:hint="eastAsia"/>
        </w:rPr>
        <w:t>《电子病历系统功能应用水平分级评价方法及标准（试行）》国卫办医函〔2018〕1079号</w:t>
      </w:r>
    </w:p>
    <w:p>
      <w:pPr>
        <w:pStyle w:val="15"/>
        <w:numPr>
          <w:ilvl w:val="0"/>
          <w:numId w:val="2"/>
        </w:numPr>
        <w:rPr>
          <w:rFonts w:hint="eastAsia"/>
        </w:rPr>
      </w:pPr>
      <w:r>
        <w:rPr>
          <w:rFonts w:hint="eastAsia"/>
        </w:rPr>
        <w:t>《全国医院信息化建设标准与规范（试行）》国卫办规划发〔2018〕4号</w:t>
      </w:r>
    </w:p>
    <w:p>
      <w:pPr>
        <w:pStyle w:val="15"/>
        <w:numPr>
          <w:ilvl w:val="0"/>
          <w:numId w:val="2"/>
        </w:numPr>
      </w:pPr>
      <w:r>
        <w:rPr>
          <w:rFonts w:hint="eastAsia"/>
        </w:rPr>
        <w:t>《医院信息互联互通标准化成熟度测评方案（2020年版）》国卫统信便函〔2020〕30号</w:t>
      </w:r>
    </w:p>
    <w:p>
      <w:pPr>
        <w:pStyle w:val="15"/>
        <w:numPr>
          <w:ilvl w:val="0"/>
          <w:numId w:val="2"/>
        </w:numPr>
      </w:pPr>
      <w:r>
        <w:rPr>
          <w:rFonts w:hint="eastAsia"/>
        </w:rPr>
        <w:t>《医院信息平台应用功能指引》国卫办规划函〔2016〕1110号</w:t>
      </w:r>
    </w:p>
    <w:p>
      <w:pPr>
        <w:pStyle w:val="15"/>
        <w:numPr>
          <w:ilvl w:val="0"/>
          <w:numId w:val="2"/>
        </w:numPr>
        <w:rPr>
          <w:rFonts w:hint="eastAsia" w:eastAsia="宋体" w:cs="Times New Roman"/>
        </w:rPr>
      </w:pPr>
      <w:r>
        <w:rPr>
          <w:rFonts w:hint="eastAsia" w:eastAsia="宋体" w:cs="Times New Roman"/>
        </w:rPr>
        <w:t>《三级医院评审标准（2022年版）广东省综合和专科医院实施细则》粤卫医函〔2024〕3号</w:t>
      </w:r>
    </w:p>
    <w:p>
      <w:pPr>
        <w:pStyle w:val="15"/>
        <w:numPr>
          <w:ilvl w:val="0"/>
          <w:numId w:val="2"/>
        </w:numPr>
        <w:rPr>
          <w:rFonts w:hint="eastAsia" w:eastAsia="宋体" w:cs="Times New Roman"/>
        </w:rPr>
      </w:pPr>
      <w:r>
        <w:rPr>
          <w:rFonts w:hint="eastAsia" w:eastAsia="宋体" w:cs="Times New Roman"/>
        </w:rPr>
        <w:t>中华人民共和国网络安全法</w:t>
      </w:r>
    </w:p>
    <w:p>
      <w:pPr>
        <w:pStyle w:val="15"/>
        <w:numPr>
          <w:ilvl w:val="0"/>
          <w:numId w:val="2"/>
        </w:numPr>
        <w:rPr>
          <w:rFonts w:hint="eastAsia" w:eastAsia="宋体" w:cs="Times New Roman"/>
          <w:lang w:val="en-US" w:eastAsia="zh-CN"/>
        </w:rPr>
      </w:pPr>
      <w:r>
        <w:rPr>
          <w:rFonts w:hint="eastAsia" w:eastAsia="宋体" w:cs="Times New Roman"/>
          <w:lang w:val="en-US" w:eastAsia="zh-CN"/>
        </w:rPr>
        <w:t>智慧医院服务分级评估标准体系（试行）</w:t>
      </w:r>
    </w:p>
    <w:p>
      <w:pPr>
        <w:pStyle w:val="15"/>
        <w:numPr>
          <w:ilvl w:val="0"/>
          <w:numId w:val="2"/>
        </w:numPr>
        <w:rPr>
          <w:rFonts w:hint="eastAsia" w:eastAsia="宋体" w:cs="Times New Roman"/>
        </w:rPr>
      </w:pPr>
      <w:r>
        <w:rPr>
          <w:rFonts w:hint="eastAsia" w:eastAsia="宋体" w:cs="Times New Roman"/>
        </w:rPr>
        <w:t>三级医院评审标准（2022年版）</w:t>
      </w:r>
    </w:p>
    <w:p>
      <w:pPr>
        <w:pStyle w:val="15"/>
        <w:numPr>
          <w:ilvl w:val="0"/>
          <w:numId w:val="2"/>
        </w:numPr>
        <w:rPr>
          <w:rFonts w:hint="eastAsia" w:eastAsia="宋体" w:cs="Times New Roman"/>
        </w:rPr>
      </w:pPr>
      <w:r>
        <w:rPr>
          <w:rFonts w:hint="eastAsia" w:eastAsia="宋体" w:cs="Times New Roman"/>
        </w:rPr>
        <w:t>三级公立医院绩效考核操作手册（202</w:t>
      </w:r>
      <w:r>
        <w:rPr>
          <w:rFonts w:hint="eastAsia" w:eastAsia="宋体" w:cs="Times New Roman"/>
          <w:lang w:val="en-US" w:eastAsia="zh-CN"/>
        </w:rPr>
        <w:t>4</w:t>
      </w:r>
      <w:r>
        <w:rPr>
          <w:rFonts w:hint="eastAsia" w:eastAsia="宋体" w:cs="Times New Roman"/>
        </w:rPr>
        <w:t>版）</w:t>
      </w:r>
    </w:p>
    <w:p>
      <w:pPr>
        <w:pStyle w:val="15"/>
        <w:numPr>
          <w:ilvl w:val="0"/>
          <w:numId w:val="2"/>
        </w:numPr>
        <w:rPr>
          <w:rFonts w:hint="eastAsia" w:eastAsia="宋体" w:cs="Times New Roman"/>
        </w:rPr>
      </w:pPr>
      <w:r>
        <w:rPr>
          <w:rFonts w:hint="eastAsia" w:eastAsia="宋体" w:cs="Times New Roman"/>
        </w:rPr>
        <w:t>全国医院信息化建设标准与规范（试行）</w:t>
      </w:r>
    </w:p>
    <w:p>
      <w:pPr>
        <w:ind w:firstLine="480" w:firstLineChars="200"/>
        <w:rPr>
          <w:rFonts w:hint="eastAsia" w:eastAsia="宋体" w:cs="Times New Roman"/>
          <w:lang w:val="en-US" w:eastAsia="zh-CN"/>
        </w:rPr>
      </w:pPr>
      <w:r>
        <w:rPr>
          <w:rFonts w:hint="eastAsia" w:eastAsia="宋体" w:cs="Times New Roman"/>
          <w:lang w:val="en-US" w:eastAsia="zh-CN"/>
        </w:rPr>
        <w:t>4、实现以数据迁移、数据共享等方式兼容历史数据，统一数据查询窗口，便于医院科室工作。</w:t>
      </w:r>
    </w:p>
    <w:p>
      <w:pPr>
        <w:ind w:firstLine="480" w:firstLineChars="200"/>
        <w:rPr>
          <w:rFonts w:hint="eastAsia" w:eastAsia="宋体" w:cs="Times New Roman"/>
          <w:lang w:val="en-US" w:eastAsia="zh-CN"/>
        </w:rPr>
      </w:pPr>
      <w:r>
        <w:rPr>
          <w:rFonts w:hint="eastAsia" w:eastAsia="宋体" w:cs="Times New Roman"/>
          <w:lang w:val="en-US" w:eastAsia="zh-CN"/>
        </w:rPr>
        <w:t>5、系统运行流畅、稳定,达到安全等保2.0三级要求，不存在恶意代码，数据在采集、传输、处理、存储过程中不被泄露破坏。</w:t>
      </w:r>
    </w:p>
    <w:p>
      <w:pPr>
        <w:pStyle w:val="3"/>
      </w:pPr>
      <w:r>
        <w:rPr>
          <w:rFonts w:hint="eastAsia"/>
        </w:rPr>
        <w:t>详细需求</w:t>
      </w:r>
    </w:p>
    <w:p>
      <w:pPr>
        <w:pStyle w:val="4"/>
      </w:pPr>
      <w:r>
        <w:rPr>
          <w:rFonts w:hint="eastAsia"/>
        </w:rPr>
        <w:t>电子病历5级改造及咨询服务</w:t>
      </w:r>
    </w:p>
    <w:tbl>
      <w:tblPr>
        <w:tblStyle w:val="26"/>
        <w:tblW w:w="5000" w:type="pct"/>
        <w:tblInd w:w="0" w:type="dxa"/>
        <w:tblLayout w:type="fixed"/>
        <w:tblCellMar>
          <w:top w:w="0" w:type="dxa"/>
          <w:left w:w="108" w:type="dxa"/>
          <w:bottom w:w="0" w:type="dxa"/>
          <w:right w:w="108" w:type="dxa"/>
        </w:tblCellMar>
      </w:tblPr>
      <w:tblGrid>
        <w:gridCol w:w="723"/>
        <w:gridCol w:w="869"/>
        <w:gridCol w:w="871"/>
        <w:gridCol w:w="1161"/>
        <w:gridCol w:w="6338"/>
      </w:tblGrid>
      <w:tr>
        <w:tblPrEx>
          <w:tblCellMar>
            <w:top w:w="0" w:type="dxa"/>
            <w:left w:w="108" w:type="dxa"/>
            <w:bottom w:w="0" w:type="dxa"/>
            <w:right w:w="108" w:type="dxa"/>
          </w:tblCellMar>
        </w:tblPrEx>
        <w:tc>
          <w:tcPr>
            <w:tcW w:w="363" w:type="pct"/>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40" w:lineRule="auto"/>
              <w:jc w:val="center"/>
              <w:rPr>
                <w:rFonts w:ascii="宋体" w:hAnsi="宋体" w:cs="宋体"/>
                <w:b/>
                <w:bCs/>
                <w:color w:val="000000"/>
                <w:kern w:val="0"/>
              </w:rPr>
            </w:pPr>
            <w:r>
              <w:rPr>
                <w:rFonts w:hint="eastAsia" w:ascii="宋体" w:hAnsi="宋体" w:cs="宋体"/>
                <w:b/>
                <w:bCs/>
                <w:color w:val="000000"/>
                <w:kern w:val="0"/>
              </w:rPr>
              <w:t>序号</w:t>
            </w:r>
          </w:p>
        </w:tc>
        <w:tc>
          <w:tcPr>
            <w:tcW w:w="436" w:type="pct"/>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分类</w:t>
            </w:r>
          </w:p>
        </w:tc>
        <w:tc>
          <w:tcPr>
            <w:tcW w:w="437" w:type="pct"/>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系统</w:t>
            </w:r>
          </w:p>
        </w:tc>
        <w:tc>
          <w:tcPr>
            <w:tcW w:w="583" w:type="pct"/>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模块</w:t>
            </w:r>
          </w:p>
        </w:tc>
        <w:tc>
          <w:tcPr>
            <w:tcW w:w="3182" w:type="pct"/>
            <w:tcBorders>
              <w:top w:val="single" w:color="auto" w:sz="4" w:space="0"/>
              <w:left w:val="nil"/>
              <w:bottom w:val="single" w:color="auto" w:sz="4" w:space="0"/>
              <w:right w:val="single" w:color="auto" w:sz="4" w:space="0"/>
            </w:tcBorders>
            <w:shd w:val="clear" w:color="000000" w:fill="D9D9D9"/>
            <w:vAlign w:val="center"/>
          </w:tcPr>
          <w:p>
            <w:pPr>
              <w:widowControl/>
              <w:spacing w:line="240" w:lineRule="auto"/>
              <w:jc w:val="center"/>
              <w:rPr>
                <w:rFonts w:hint="eastAsia" w:ascii="宋体" w:hAnsi="宋体" w:cs="宋体"/>
                <w:b/>
                <w:bCs/>
                <w:color w:val="000000"/>
                <w:kern w:val="0"/>
              </w:rPr>
            </w:pPr>
            <w:r>
              <w:rPr>
                <w:rFonts w:hint="eastAsia" w:ascii="宋体" w:hAnsi="宋体" w:cs="宋体"/>
                <w:b/>
                <w:bCs/>
                <w:color w:val="000000"/>
                <w:kern w:val="0"/>
              </w:rPr>
              <w:t>功能要求</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w:t>
            </w:r>
          </w:p>
        </w:tc>
        <w:tc>
          <w:tcPr>
            <w:tcW w:w="436"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电子病历五级评审咨询与服务管理</w:t>
            </w:r>
          </w:p>
        </w:tc>
        <w:tc>
          <w:tcPr>
            <w:tcW w:w="437"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数据质量提升</w:t>
            </w: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2"/>
                <w:szCs w:val="22"/>
              </w:rPr>
            </w:pPr>
            <w:r>
              <w:rPr>
                <w:rFonts w:hint="eastAsia" w:ascii="宋体" w:hAnsi="宋体" w:cs="宋体"/>
                <w:color w:val="000000"/>
                <w:kern w:val="0"/>
                <w:sz w:val="22"/>
                <w:szCs w:val="22"/>
              </w:rPr>
              <w:t>系统要求</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2"/>
                <w:szCs w:val="22"/>
              </w:rPr>
            </w:pPr>
            <w:r>
              <w:rPr>
                <w:rFonts w:hint="eastAsia" w:ascii="宋体" w:hAnsi="宋体" w:cs="宋体"/>
                <w:color w:val="000000"/>
                <w:kern w:val="0"/>
                <w:sz w:val="22"/>
                <w:szCs w:val="22"/>
              </w:rPr>
              <w:t>明确医院各个系统基于电子病历五级测评阶段应当实现的功能，根据《电子病历系统功能规范》、《电子病历应用管理规范》等规范性文件，对电子病历测评的10个角色，39个评价项目进行符合五级标准的系统功能、有效应用、数据质量、业务闭环等方面对医院各个系统进行测评服务。对医院信息集成平台、数据中心、门诊医生工作站、住院医生工作站、住院护士工作、抗菌药管理系统、医务权限等模块进行整合改造。</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sz w:val="22"/>
                <w:szCs w:val="22"/>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根据《数据质量评估说明》等规范性文件基于医院数据中心，对住院医生、住院护士、门诊医生、检验处理、检查科室、治疗信息处理、医疗保障、病历管理、信息利用涉及到的系统进行整合与数据治理。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电子病历数据质量工具</w:t>
            </w: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电子病历数据质量总览标：按时间范围对电子病历五级128项数据质量考察项（33个一致性指标、64个完整性和31个整合性指标）的数据质量评分进行展示，支持按照指标的数据质量评分进行排序显示。</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支持按照数据质量的考察项目对应的数据质量评价内容展示时间区间的平均系数以及分月展示。</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支持按照数据质量的考察项目对应的数据质量评价内容维护对应的分子分母的数据库脚本，并在界面展示指标要求、计算方法和对应的数据库脚本和执行结果。</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电子病历数据质量仓库</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通过数据中心，结合数据质量要求，将异构业务系统数据整合，构建一套电子病历数据质量仓库，并具有可扩展性。</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电子病历数据质量改进</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数据标准化管理：通过数据标准化，利用医院主数据管理系统实现电子病历五级数据质量要求。</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协助主管业务部门流程调优：对数据质量评分不满足电子病历五级要求的考察项目及时反馈给主观业务部门，协助主管业务部门按标准优化流程。</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数据质控管理：定期对数据质量进行重新评分，并发布整改报告，并基于整改报告进行持续改进。</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电子病历数据质量</w:t>
            </w:r>
            <w:r>
              <w:rPr>
                <w:rFonts w:hint="eastAsia" w:ascii="宋体" w:hAnsi="宋体" w:cs="宋体"/>
                <w:color w:val="000000"/>
                <w:kern w:val="0"/>
              </w:rPr>
              <w:br w:type="textWrapping"/>
            </w:r>
            <w:r>
              <w:rPr>
                <w:rFonts w:hint="eastAsia" w:ascii="宋体" w:hAnsi="宋体" w:cs="宋体"/>
                <w:color w:val="000000"/>
                <w:kern w:val="0"/>
              </w:rPr>
              <w:t>(一致性、完整性、整合性)</w:t>
            </w: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病房医生数据质量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病房医生数据质量脚本统计与分析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病房医生数据质量问题治理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病房护士数据质量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病房护士数据质量脚本统计与分析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病房护士数据质量问题治理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门诊医生数据质量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门诊医生数据质量脚本统计与分析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门诊护士数据质量问题治理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检查科室数据质量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检查科室数据质量脚本统计与分析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检查科室数据质量问题治理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检验科室数据质量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检验科室数据质量脚本统计与分析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19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检验科室数据质量问题治理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治疗信息数据质量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治疗信息数据质量脚本统计与分析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治疗信息数据质量问题治理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医疗保障数据质量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医疗保障数据质量脚本统计与分析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医疗保障数据质量问题治理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病历管理数据质量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病历管理数据质量脚本统计与分析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病历管理数据质量问题治理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信息利用数据质量</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信息利用数据质量脚本统计与分析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信息利用数据质量问题治理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电子病历5级相关系统改造</w:t>
            </w: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患者360改造</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患者360新增标签可以查看门诊发药信息和住院发药信息</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29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患者360增加标签可以查看历史病历归档信息</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患者360新增标签可以查看康复治疗记录信息</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患者360新增标签可以查看广州市全民健康档案，并通过患者短信验证的许可指令授权后才允许查看</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患者360新增标签可以查看输血记录信息</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患者360可以按角色调用，模块化展示患者检验、检查记录并记录调用日志</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通过ES等技术提升患者360的时效性和及时性</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门诊医生站改造</w:t>
            </w: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医生站需要调用统一的字典（检验项目，明细项目，标示，检查项目，手术名称）</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查看处方点评结果</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对接医务管理相关权限：处方权、抗菌药品权限、抗肿瘤药物权限、手术分级管理权限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查阅检验报告时对接CDSS提醒：检验科核查与诊断、性别、生理周期有关的项目需要维护不同的参考值范围；</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39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检验检查危急值处理闭环节点信息接入危急值管理平台</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住院医生站改造</w:t>
            </w: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查阅检验报告时对接CDSS提醒：检验科核查与诊断、性别、生理周期有关的项目需要维护不同的参考值范围；</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医生站需要调用统一的字典（检验项目，明细项目，标示，检查项目，手术名称）</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支持查看处方点评结果</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对接医务管理相关权限：处方权、抗菌药品权限、抗肿瘤药物权限、手术分级管理权限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主数据系统（MDM）改造</w:t>
            </w: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项目（检验项目与明细项目，标本，检查项目）、药品、血液字典、手术名称、手术编码信息，建议统一字典配置管理，其它系统统一调用使用（如HIS，门诊/住院医生站，护士站，手术室，医务，病案）。</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检验申请单设置,在设置界面增加适应症、采集要求、作用；设置的数据在临床门诊，住院可调阅。</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检查申请单设置,在设置界面增加适应症、注意事项、临床意义、准备工作；设置的数据在临床门诊，住院可调阅。</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增加检验项目的明细说明；设置的数据在临床门诊，住院可调阅。</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临床数据中心（CDR）改造</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rPr>
                <w:rFonts w:hint="eastAsia" w:ascii="宋体" w:hAnsi="宋体" w:cs="宋体"/>
                <w:color w:val="000000"/>
                <w:kern w:val="0"/>
              </w:rPr>
            </w:pPr>
            <w:r>
              <w:rPr>
                <w:rFonts w:hint="eastAsia" w:ascii="宋体" w:hAnsi="宋体" w:cs="宋体"/>
                <w:color w:val="000000"/>
                <w:kern w:val="0"/>
              </w:rPr>
              <w:t>合并翻拍的历史电子病历数据。</w:t>
            </w:r>
            <w:r>
              <w:rPr>
                <w:rFonts w:hint="eastAsia" w:ascii="宋体" w:hAnsi="宋体" w:cs="宋体"/>
                <w:color w:val="000000"/>
                <w:kern w:val="0"/>
              </w:rPr>
              <w:br w:type="textWrapping"/>
            </w:r>
            <w:r>
              <w:rPr>
                <w:rFonts w:hint="eastAsia" w:ascii="宋体" w:hAnsi="宋体" w:cs="宋体"/>
                <w:color w:val="000000"/>
                <w:kern w:val="0"/>
              </w:rPr>
              <w:t>增加康复治疗、安排，治疗记录，评估单数据。</w:t>
            </w:r>
            <w:r>
              <w:rPr>
                <w:rFonts w:hint="eastAsia" w:ascii="宋体" w:hAnsi="宋体" w:cs="宋体"/>
                <w:color w:val="000000"/>
                <w:kern w:val="0"/>
              </w:rPr>
              <w:br w:type="textWrapping"/>
            </w:r>
            <w:r>
              <w:rPr>
                <w:rFonts w:hint="eastAsia" w:ascii="宋体" w:hAnsi="宋体" w:cs="宋体"/>
                <w:color w:val="000000"/>
                <w:kern w:val="0"/>
              </w:rPr>
              <w:t>用血申请、配血、血液使用记录、输血反应等相关数据接入CDR。</w:t>
            </w:r>
            <w:r>
              <w:rPr>
                <w:rFonts w:hint="eastAsia" w:ascii="宋体" w:hAnsi="宋体" w:cs="宋体"/>
                <w:color w:val="000000"/>
                <w:kern w:val="0"/>
              </w:rPr>
              <w:br w:type="textWrapping"/>
            </w:r>
            <w:r>
              <w:rPr>
                <w:rFonts w:hint="eastAsia" w:ascii="宋体" w:hAnsi="宋体" w:cs="宋体"/>
                <w:color w:val="000000"/>
                <w:kern w:val="0"/>
              </w:rPr>
              <w:t>增加药品准备与发药记录。</w:t>
            </w:r>
            <w:r>
              <w:rPr>
                <w:rFonts w:hint="eastAsia" w:ascii="宋体" w:hAnsi="宋体" w:cs="宋体"/>
                <w:color w:val="000000"/>
                <w:kern w:val="0"/>
              </w:rPr>
              <w:br w:type="textWrapping"/>
            </w:r>
            <w:r>
              <w:rPr>
                <w:rFonts w:hint="eastAsia" w:ascii="宋体" w:hAnsi="宋体" w:cs="宋体"/>
                <w:color w:val="000000"/>
                <w:kern w:val="0"/>
              </w:rPr>
              <w:t>CDR无执行记录。需要增加执行记录展示；或是通过闭环展示。</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49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电子病历五级评审咨询与服务管理</w:t>
            </w:r>
          </w:p>
        </w:tc>
        <w:tc>
          <w:tcPr>
            <w:tcW w:w="583"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电子病历五级调研分析服务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根据2018年《电子病历系统应用水平分级评价标准(试行)》标准要求及医院实际情况，对医院信息化建设现状进行调研分析并提供调研分析报告，指导医院整理整改内容方案。</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电子病历五级标准解析服务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2"/>
                <w:szCs w:val="22"/>
              </w:rPr>
            </w:pPr>
            <w:r>
              <w:rPr>
                <w:rFonts w:hint="eastAsia" w:ascii="宋体" w:hAnsi="宋体" w:cs="宋体"/>
                <w:color w:val="000000"/>
                <w:kern w:val="0"/>
                <w:sz w:val="22"/>
                <w:szCs w:val="22"/>
              </w:rPr>
              <w:t>对2018年《电子病历系统应用水平分级评价标准(试行)》进行 解读，协助医院相关人员了解评级流程、评级方法、建设范围、定级方法、项目实施流程等内容。</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针对不满足电子病历评审的功能点或流程提供改造建议方案；</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参与医院现有信息系统流程的讨论、分析，提供改造建设建议；</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对医院信息化建设现状与电子病历评审要求之间的差距进行差异化分析，让医院对改造的工作量和难易程度有更清晰的认识；</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提供电子病历评审系统功能改造需求分析；</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提供电子病历评审系统功能改造建议方案；</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协助院方拟定电子病历评审功能改造计划，监督落实情况；</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为医院管理部门、信息中心、临床业务科室提供政策及标准解读服务。</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电子病历五级改造服务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基于评估内容和过级需求，对现有的医生站、护士站、电子医嘱、临床路径、抗菌药物管理、数据中心等信息化系统，如CIS、明确现有系统需改造的功能操作，与相关科室沟通确认；</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59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相关的临床系统、管理系统进行改造，明确各系统改造内容与实现效果，保证系统功能，系统集成、业务流程、应用范围、数据质量满足评审要求。</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电子病历五级评级上报服务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为医院在国家卫健委医院管理研究所电子病历分级评价平台的数据上报工作提供咨询服务、指导；</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培训、指导上报流程及注意事项；</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培训、指导上报数据整理与核对。</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电子病历五级文审咨询服务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指导院方相关科室、厂家完成电子病历评级实证材料的准备包括系统功能截图和数据质量；</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实证材料整理要求、注意事项培训与指导；</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65</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大规模排查数据质量（紧密围绕一致性、整合性、及时性、完整性)；</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66</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实证材料整理计划安排；</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67</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实证材料的审核。</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68</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电子病历五级培训服务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安排对院方项目负责人及相关人员针对电子病历评级相关功能性要求、注意事项培训。</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69</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电子病历五级模拟实证服务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自查医院所列功能的前级功能，确认均完全实现。列表声明这些项目的前级功能全部实现；</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70</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针对所申报的等级给出对应级别的基本项、选择项内容的实证。实证内容包括：系统截屏、统计数据、方案说明与场景描述；</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71</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审查提交内容是否满足要求，对于有疑问的项目，可要求医院给予说明；</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72</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现场核实实证内容的一致性并做记录、存档；</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73</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申报医院抽查前级内容的实现情况并记录、存档。</w:t>
            </w:r>
          </w:p>
        </w:tc>
      </w:tr>
      <w:tr>
        <w:tblPrEx>
          <w:tblCellMar>
            <w:top w:w="0" w:type="dxa"/>
            <w:left w:w="108" w:type="dxa"/>
            <w:bottom w:w="0" w:type="dxa"/>
            <w:right w:w="108" w:type="dxa"/>
          </w:tblCellMar>
        </w:tblPrEx>
        <w:tc>
          <w:tcPr>
            <w:tcW w:w="363"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74</w:t>
            </w:r>
          </w:p>
        </w:tc>
        <w:tc>
          <w:tcPr>
            <w:tcW w:w="436"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437" w:type="pct"/>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ascii="宋体" w:hAnsi="宋体" w:cs="宋体"/>
                <w:color w:val="000000"/>
                <w:kern w:val="0"/>
              </w:rPr>
            </w:pPr>
          </w:p>
        </w:tc>
        <w:tc>
          <w:tcPr>
            <w:tcW w:w="583"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rPr>
            </w:pPr>
            <w:r>
              <w:rPr>
                <w:rFonts w:hint="eastAsia" w:ascii="宋体" w:hAnsi="宋体" w:cs="宋体"/>
                <w:color w:val="000000"/>
                <w:kern w:val="0"/>
              </w:rPr>
              <w:t>电子病历五级现场查验咨询服务</w:t>
            </w:r>
          </w:p>
        </w:tc>
        <w:tc>
          <w:tcPr>
            <w:tcW w:w="3182" w:type="pct"/>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rPr>
            </w:pPr>
            <w:r>
              <w:rPr>
                <w:rFonts w:hint="eastAsia" w:ascii="宋体" w:hAnsi="宋体" w:cs="宋体"/>
                <w:color w:val="000000"/>
                <w:kern w:val="0"/>
              </w:rPr>
              <w:t>结合医院实际情况提供应知应会文档，协助院方指导各厂商完成各自系统中涉及电子病历评审重要内容的操作手册，指导评级培训工作，协助院方完成现场迎评准备工作。</w:t>
            </w:r>
          </w:p>
        </w:tc>
      </w:tr>
    </w:tbl>
    <w:p>
      <w:pPr>
        <w:rPr>
          <w:rFonts w:hint="eastAsia"/>
        </w:rPr>
      </w:pPr>
    </w:p>
    <w:sectPr>
      <w:footerReference r:id="rId5" w:type="default"/>
      <w:pgSz w:w="11906" w:h="16838"/>
      <w:pgMar w:top="1440" w:right="1080" w:bottom="1440" w:left="1080" w:header="851" w:footer="992" w:gutter="0"/>
      <w:cols w:space="720" w:num="1"/>
      <w:titlePg/>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w:t>
    </w:r>
    <w:r>
      <w:fldChar w:fldCharType="end"/>
    </w:r>
    <w:r>
      <w:rPr>
        <w:rFonts w:hint="eastAsia"/>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D9F0C"/>
    <w:multiLevelType w:val="multilevel"/>
    <w:tmpl w:val="59ED9F0C"/>
    <w:lvl w:ilvl="0" w:tentative="0">
      <w:start w:val="1"/>
      <w:numFmt w:val="decimal"/>
      <w:pStyle w:val="3"/>
      <w:lvlText w:val="第%1章"/>
      <w:lvlJc w:val="left"/>
      <w:pPr>
        <w:ind w:left="420" w:hanging="420"/>
      </w:pPr>
      <w:rPr>
        <w:rFonts w:hint="eastAsia"/>
      </w:rPr>
    </w:lvl>
    <w:lvl w:ilvl="1" w:tentative="0">
      <w:start w:val="1"/>
      <w:numFmt w:val="decimal"/>
      <w:pStyle w:val="4"/>
      <w:lvlText w:val="%1.%2"/>
      <w:lvlJc w:val="left"/>
      <w:pPr>
        <w:ind w:left="156" w:hanging="156"/>
      </w:pPr>
    </w:lvl>
    <w:lvl w:ilvl="2" w:tentative="0">
      <w:start w:val="1"/>
      <w:numFmt w:val="decimal"/>
      <w:pStyle w:val="5"/>
      <w:lvlText w:val="%1.%2.%3"/>
      <w:lvlJc w:val="left"/>
      <w:pPr>
        <w:ind w:left="147" w:hanging="90"/>
      </w:pPr>
    </w:lvl>
    <w:lvl w:ilvl="3" w:tentative="0">
      <w:start w:val="1"/>
      <w:numFmt w:val="decimal"/>
      <w:pStyle w:val="6"/>
      <w:lvlText w:val="%1.%2.%3.%4"/>
      <w:lvlJc w:val="left"/>
      <w:pPr>
        <w:ind w:left="864" w:hanging="864"/>
      </w:pPr>
    </w:lvl>
    <w:lvl w:ilvl="4" w:tentative="0">
      <w:start w:val="1"/>
      <w:numFmt w:val="decimal"/>
      <w:pStyle w:val="2"/>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638704A9"/>
    <w:multiLevelType w:val="multilevel"/>
    <w:tmpl w:val="638704A9"/>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 w:name="KSO_WPS_MARK_KEY" w:val="0a0ac428-2f99-402d-ba80-ce2947930eae"/>
  </w:docVars>
  <w:rsids>
    <w:rsidRoot w:val="00A50623"/>
    <w:rsid w:val="00017992"/>
    <w:rsid w:val="00021F71"/>
    <w:rsid w:val="00023937"/>
    <w:rsid w:val="000255F0"/>
    <w:rsid w:val="00031D04"/>
    <w:rsid w:val="00032CF7"/>
    <w:rsid w:val="000417A1"/>
    <w:rsid w:val="00054479"/>
    <w:rsid w:val="00065866"/>
    <w:rsid w:val="00077564"/>
    <w:rsid w:val="000914D2"/>
    <w:rsid w:val="00093AF7"/>
    <w:rsid w:val="000B0083"/>
    <w:rsid w:val="000C0047"/>
    <w:rsid w:val="000C68D0"/>
    <w:rsid w:val="000D5261"/>
    <w:rsid w:val="000F57DB"/>
    <w:rsid w:val="00131950"/>
    <w:rsid w:val="001335F2"/>
    <w:rsid w:val="00157822"/>
    <w:rsid w:val="0016554F"/>
    <w:rsid w:val="001745BA"/>
    <w:rsid w:val="00185EE4"/>
    <w:rsid w:val="001B3880"/>
    <w:rsid w:val="001B53A5"/>
    <w:rsid w:val="001D3524"/>
    <w:rsid w:val="001E5F30"/>
    <w:rsid w:val="001F65EB"/>
    <w:rsid w:val="00211D11"/>
    <w:rsid w:val="00213592"/>
    <w:rsid w:val="00214AF5"/>
    <w:rsid w:val="00216F64"/>
    <w:rsid w:val="00217D9E"/>
    <w:rsid w:val="0023025F"/>
    <w:rsid w:val="00244032"/>
    <w:rsid w:val="00245128"/>
    <w:rsid w:val="00247E39"/>
    <w:rsid w:val="00252EF4"/>
    <w:rsid w:val="00267E89"/>
    <w:rsid w:val="002747DF"/>
    <w:rsid w:val="00277CD1"/>
    <w:rsid w:val="002925B7"/>
    <w:rsid w:val="00295799"/>
    <w:rsid w:val="002B256D"/>
    <w:rsid w:val="002B7B4F"/>
    <w:rsid w:val="002C17AD"/>
    <w:rsid w:val="002D3AAF"/>
    <w:rsid w:val="00304BFB"/>
    <w:rsid w:val="003068BB"/>
    <w:rsid w:val="00311550"/>
    <w:rsid w:val="003117B9"/>
    <w:rsid w:val="0031760C"/>
    <w:rsid w:val="003353AA"/>
    <w:rsid w:val="00352595"/>
    <w:rsid w:val="003670A2"/>
    <w:rsid w:val="00372F8D"/>
    <w:rsid w:val="00390A3A"/>
    <w:rsid w:val="00391F0B"/>
    <w:rsid w:val="0039426D"/>
    <w:rsid w:val="003A2BE1"/>
    <w:rsid w:val="003B0F58"/>
    <w:rsid w:val="003C369E"/>
    <w:rsid w:val="003F3792"/>
    <w:rsid w:val="00412529"/>
    <w:rsid w:val="004234FC"/>
    <w:rsid w:val="00433885"/>
    <w:rsid w:val="004447FA"/>
    <w:rsid w:val="00446FC4"/>
    <w:rsid w:val="00460ACA"/>
    <w:rsid w:val="004B15AA"/>
    <w:rsid w:val="004B3DF5"/>
    <w:rsid w:val="004B67DA"/>
    <w:rsid w:val="004B71B3"/>
    <w:rsid w:val="004B77C3"/>
    <w:rsid w:val="004C05FC"/>
    <w:rsid w:val="004D47DE"/>
    <w:rsid w:val="004E14FF"/>
    <w:rsid w:val="004E2A38"/>
    <w:rsid w:val="004F73AF"/>
    <w:rsid w:val="005013C3"/>
    <w:rsid w:val="00501CA5"/>
    <w:rsid w:val="00506DE4"/>
    <w:rsid w:val="00506EEC"/>
    <w:rsid w:val="0051132D"/>
    <w:rsid w:val="0052488D"/>
    <w:rsid w:val="00535084"/>
    <w:rsid w:val="005356BD"/>
    <w:rsid w:val="00542C9F"/>
    <w:rsid w:val="00544182"/>
    <w:rsid w:val="00551EC6"/>
    <w:rsid w:val="0056213C"/>
    <w:rsid w:val="00564EE3"/>
    <w:rsid w:val="00587DE1"/>
    <w:rsid w:val="005901B9"/>
    <w:rsid w:val="005A1B05"/>
    <w:rsid w:val="005F6C7D"/>
    <w:rsid w:val="00637C4D"/>
    <w:rsid w:val="0064439A"/>
    <w:rsid w:val="00645121"/>
    <w:rsid w:val="00656AAB"/>
    <w:rsid w:val="00656EAA"/>
    <w:rsid w:val="00662B75"/>
    <w:rsid w:val="00665EA0"/>
    <w:rsid w:val="006912FB"/>
    <w:rsid w:val="00697A40"/>
    <w:rsid w:val="006B471A"/>
    <w:rsid w:val="006C7567"/>
    <w:rsid w:val="006C75D3"/>
    <w:rsid w:val="006E2C56"/>
    <w:rsid w:val="007104B7"/>
    <w:rsid w:val="00734B88"/>
    <w:rsid w:val="00754820"/>
    <w:rsid w:val="00756271"/>
    <w:rsid w:val="00757CA2"/>
    <w:rsid w:val="0076659F"/>
    <w:rsid w:val="007958D3"/>
    <w:rsid w:val="0079765A"/>
    <w:rsid w:val="007A7767"/>
    <w:rsid w:val="007A7C02"/>
    <w:rsid w:val="007B4C5E"/>
    <w:rsid w:val="007C24A3"/>
    <w:rsid w:val="007D26D9"/>
    <w:rsid w:val="007D3375"/>
    <w:rsid w:val="007D5224"/>
    <w:rsid w:val="00812A2B"/>
    <w:rsid w:val="00823CCF"/>
    <w:rsid w:val="00842E0C"/>
    <w:rsid w:val="0084674D"/>
    <w:rsid w:val="0085774C"/>
    <w:rsid w:val="0086204F"/>
    <w:rsid w:val="0087705A"/>
    <w:rsid w:val="00885E77"/>
    <w:rsid w:val="00891784"/>
    <w:rsid w:val="00892FA2"/>
    <w:rsid w:val="008970BA"/>
    <w:rsid w:val="008A75A9"/>
    <w:rsid w:val="008A78F7"/>
    <w:rsid w:val="008B1F53"/>
    <w:rsid w:val="008B2B62"/>
    <w:rsid w:val="008D258F"/>
    <w:rsid w:val="008D3075"/>
    <w:rsid w:val="008E2BD9"/>
    <w:rsid w:val="008E4CE0"/>
    <w:rsid w:val="00920F68"/>
    <w:rsid w:val="00926901"/>
    <w:rsid w:val="00934AC6"/>
    <w:rsid w:val="0094579C"/>
    <w:rsid w:val="009532C2"/>
    <w:rsid w:val="00983CC6"/>
    <w:rsid w:val="00987AA6"/>
    <w:rsid w:val="009935A5"/>
    <w:rsid w:val="009A74FE"/>
    <w:rsid w:val="009C5B46"/>
    <w:rsid w:val="009D1882"/>
    <w:rsid w:val="009D6D61"/>
    <w:rsid w:val="00A055FF"/>
    <w:rsid w:val="00A1565A"/>
    <w:rsid w:val="00A4540B"/>
    <w:rsid w:val="00A50623"/>
    <w:rsid w:val="00A602F9"/>
    <w:rsid w:val="00A729C9"/>
    <w:rsid w:val="00A75915"/>
    <w:rsid w:val="00A90BDB"/>
    <w:rsid w:val="00A95036"/>
    <w:rsid w:val="00AA6CA2"/>
    <w:rsid w:val="00AD01EF"/>
    <w:rsid w:val="00AE55C9"/>
    <w:rsid w:val="00B12DCC"/>
    <w:rsid w:val="00B136A1"/>
    <w:rsid w:val="00B43968"/>
    <w:rsid w:val="00B52B8D"/>
    <w:rsid w:val="00B80D7A"/>
    <w:rsid w:val="00B8122A"/>
    <w:rsid w:val="00B94E8A"/>
    <w:rsid w:val="00B97932"/>
    <w:rsid w:val="00BB27BA"/>
    <w:rsid w:val="00BE02BE"/>
    <w:rsid w:val="00BE2E73"/>
    <w:rsid w:val="00BE7150"/>
    <w:rsid w:val="00BE7E71"/>
    <w:rsid w:val="00BF55F4"/>
    <w:rsid w:val="00C07F0B"/>
    <w:rsid w:val="00C142EA"/>
    <w:rsid w:val="00C31A09"/>
    <w:rsid w:val="00C32180"/>
    <w:rsid w:val="00C37EA3"/>
    <w:rsid w:val="00C462B0"/>
    <w:rsid w:val="00C6021E"/>
    <w:rsid w:val="00C74C8E"/>
    <w:rsid w:val="00CA2E8C"/>
    <w:rsid w:val="00CB0584"/>
    <w:rsid w:val="00CC1162"/>
    <w:rsid w:val="00CC270A"/>
    <w:rsid w:val="00CC5868"/>
    <w:rsid w:val="00CE00CA"/>
    <w:rsid w:val="00CE6313"/>
    <w:rsid w:val="00CF45DA"/>
    <w:rsid w:val="00CF51ED"/>
    <w:rsid w:val="00D00A57"/>
    <w:rsid w:val="00D111A8"/>
    <w:rsid w:val="00D11FE6"/>
    <w:rsid w:val="00D218FC"/>
    <w:rsid w:val="00D36F73"/>
    <w:rsid w:val="00D4165B"/>
    <w:rsid w:val="00D564E4"/>
    <w:rsid w:val="00D81BD5"/>
    <w:rsid w:val="00D82F8E"/>
    <w:rsid w:val="00D856B1"/>
    <w:rsid w:val="00DA4166"/>
    <w:rsid w:val="00DB5309"/>
    <w:rsid w:val="00DF54B5"/>
    <w:rsid w:val="00DF7A8E"/>
    <w:rsid w:val="00E05BBE"/>
    <w:rsid w:val="00E12DB9"/>
    <w:rsid w:val="00E363E6"/>
    <w:rsid w:val="00E425FA"/>
    <w:rsid w:val="00E478DB"/>
    <w:rsid w:val="00E52322"/>
    <w:rsid w:val="00E6537E"/>
    <w:rsid w:val="00E73034"/>
    <w:rsid w:val="00E75731"/>
    <w:rsid w:val="00EB4BAD"/>
    <w:rsid w:val="00EC6953"/>
    <w:rsid w:val="00ED5CE0"/>
    <w:rsid w:val="00EF41F6"/>
    <w:rsid w:val="00F070D7"/>
    <w:rsid w:val="00F346B0"/>
    <w:rsid w:val="00F40298"/>
    <w:rsid w:val="00F43AFA"/>
    <w:rsid w:val="00F46118"/>
    <w:rsid w:val="00F53F1B"/>
    <w:rsid w:val="00F952D6"/>
    <w:rsid w:val="00F95A28"/>
    <w:rsid w:val="00FA3102"/>
    <w:rsid w:val="00FA4B0D"/>
    <w:rsid w:val="00FA6605"/>
    <w:rsid w:val="00FB2E4D"/>
    <w:rsid w:val="00FB300D"/>
    <w:rsid w:val="00FC794E"/>
    <w:rsid w:val="00FD4ED5"/>
    <w:rsid w:val="00FD7617"/>
    <w:rsid w:val="06C76245"/>
    <w:rsid w:val="0751552B"/>
    <w:rsid w:val="0F160272"/>
    <w:rsid w:val="105B0D4A"/>
    <w:rsid w:val="11AE4CBE"/>
    <w:rsid w:val="14B021BA"/>
    <w:rsid w:val="14CC7C0F"/>
    <w:rsid w:val="152908A4"/>
    <w:rsid w:val="16313E35"/>
    <w:rsid w:val="169173FE"/>
    <w:rsid w:val="173172F1"/>
    <w:rsid w:val="19506937"/>
    <w:rsid w:val="1E675BE5"/>
    <w:rsid w:val="209F6934"/>
    <w:rsid w:val="24DF183F"/>
    <w:rsid w:val="2D9C1EBC"/>
    <w:rsid w:val="2F7360C5"/>
    <w:rsid w:val="2FF46971"/>
    <w:rsid w:val="30D24087"/>
    <w:rsid w:val="312163CA"/>
    <w:rsid w:val="32714EB5"/>
    <w:rsid w:val="36EA63AA"/>
    <w:rsid w:val="372749F3"/>
    <w:rsid w:val="390163A8"/>
    <w:rsid w:val="3C76158A"/>
    <w:rsid w:val="411D1A2E"/>
    <w:rsid w:val="411D62E6"/>
    <w:rsid w:val="43206FFB"/>
    <w:rsid w:val="433F5E76"/>
    <w:rsid w:val="47FE6D8F"/>
    <w:rsid w:val="48012B14"/>
    <w:rsid w:val="496B35AE"/>
    <w:rsid w:val="4C502046"/>
    <w:rsid w:val="4E15752D"/>
    <w:rsid w:val="510F2A0C"/>
    <w:rsid w:val="517A394B"/>
    <w:rsid w:val="51A46718"/>
    <w:rsid w:val="523C53BC"/>
    <w:rsid w:val="54071A30"/>
    <w:rsid w:val="547454D2"/>
    <w:rsid w:val="54EE7119"/>
    <w:rsid w:val="5DBF5342"/>
    <w:rsid w:val="5ED56E90"/>
    <w:rsid w:val="5F465E53"/>
    <w:rsid w:val="661A5521"/>
    <w:rsid w:val="66B26C2B"/>
    <w:rsid w:val="695172FE"/>
    <w:rsid w:val="6B3D1849"/>
    <w:rsid w:val="701F0397"/>
    <w:rsid w:val="72A216D8"/>
    <w:rsid w:val="733D1412"/>
    <w:rsid w:val="746B7053"/>
    <w:rsid w:val="77E97F7D"/>
    <w:rsid w:val="78385C8E"/>
    <w:rsid w:val="7972046A"/>
    <w:rsid w:val="7A1C542B"/>
    <w:rsid w:val="7B1F6CDC"/>
    <w:rsid w:val="7BD56616"/>
    <w:rsid w:val="7D114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qFormat="1"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qFormat="1"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4"/>
      <w:szCs w:val="24"/>
      <w:lang w:val="en-US" w:eastAsia="zh-CN" w:bidi="ar-SA"/>
    </w:rPr>
  </w:style>
  <w:style w:type="paragraph" w:styleId="3">
    <w:name w:val="heading 1"/>
    <w:basedOn w:val="1"/>
    <w:next w:val="1"/>
    <w:link w:val="43"/>
    <w:qFormat/>
    <w:uiPriority w:val="0"/>
    <w:pPr>
      <w:keepNext/>
      <w:keepLines/>
      <w:pageBreakBefore/>
      <w:numPr>
        <w:ilvl w:val="0"/>
        <w:numId w:val="1"/>
      </w:numPr>
      <w:tabs>
        <w:tab w:val="left" w:pos="424"/>
      </w:tabs>
      <w:spacing w:before="100" w:beforeAutospacing="1" w:after="100" w:afterAutospacing="1"/>
      <w:outlineLvl w:val="0"/>
    </w:pPr>
    <w:rPr>
      <w:rFonts w:ascii="Times New Roman" w:hAnsi="Times New Roman"/>
      <w:b/>
      <w:kern w:val="44"/>
      <w:sz w:val="36"/>
    </w:rPr>
  </w:style>
  <w:style w:type="paragraph" w:styleId="4">
    <w:name w:val="heading 2"/>
    <w:basedOn w:val="1"/>
    <w:next w:val="1"/>
    <w:link w:val="32"/>
    <w:qFormat/>
    <w:uiPriority w:val="0"/>
    <w:pPr>
      <w:keepNext/>
      <w:keepLines/>
      <w:numPr>
        <w:ilvl w:val="1"/>
        <w:numId w:val="1"/>
      </w:numPr>
      <w:tabs>
        <w:tab w:val="left" w:pos="424"/>
      </w:tabs>
      <w:spacing w:before="100" w:beforeAutospacing="1" w:after="100" w:afterAutospacing="1"/>
      <w:ind w:left="425" w:hanging="425"/>
      <w:jc w:val="left"/>
      <w:outlineLvl w:val="1"/>
    </w:pPr>
    <w:rPr>
      <w:rFonts w:ascii="Times New Roman" w:hAnsi="Times New Roman"/>
      <w:b/>
      <w:sz w:val="30"/>
    </w:rPr>
  </w:style>
  <w:style w:type="paragraph" w:styleId="5">
    <w:name w:val="heading 3"/>
    <w:basedOn w:val="1"/>
    <w:next w:val="1"/>
    <w:link w:val="33"/>
    <w:qFormat/>
    <w:uiPriority w:val="0"/>
    <w:pPr>
      <w:keepNext/>
      <w:keepLines/>
      <w:numPr>
        <w:ilvl w:val="2"/>
        <w:numId w:val="1"/>
      </w:numPr>
      <w:tabs>
        <w:tab w:val="left" w:pos="424"/>
      </w:tabs>
      <w:ind w:left="91" w:hanging="91"/>
      <w:outlineLvl w:val="2"/>
    </w:pPr>
    <w:rPr>
      <w:rFonts w:ascii="Times New Roman" w:hAnsi="Times New Roman"/>
      <w:b/>
      <w:sz w:val="28"/>
    </w:rPr>
  </w:style>
  <w:style w:type="paragraph" w:styleId="6">
    <w:name w:val="heading 4"/>
    <w:basedOn w:val="1"/>
    <w:next w:val="1"/>
    <w:link w:val="46"/>
    <w:qFormat/>
    <w:uiPriority w:val="0"/>
    <w:pPr>
      <w:keepNext/>
      <w:keepLines/>
      <w:numPr>
        <w:ilvl w:val="3"/>
        <w:numId w:val="1"/>
      </w:numPr>
      <w:tabs>
        <w:tab w:val="left" w:pos="424"/>
      </w:tabs>
      <w:spacing w:before="340" w:after="330"/>
      <w:ind w:left="425" w:hanging="425"/>
      <w:outlineLvl w:val="3"/>
    </w:pPr>
    <w:rPr>
      <w:rFonts w:ascii="Times New Roman" w:hAnsi="Times New Roman"/>
      <w:b/>
    </w:rPr>
  </w:style>
  <w:style w:type="paragraph" w:styleId="2">
    <w:name w:val="heading 5"/>
    <w:basedOn w:val="1"/>
    <w:next w:val="1"/>
    <w:link w:val="44"/>
    <w:qFormat/>
    <w:uiPriority w:val="0"/>
    <w:pPr>
      <w:keepNext/>
      <w:keepLines/>
      <w:numPr>
        <w:ilvl w:val="4"/>
        <w:numId w:val="1"/>
      </w:numPr>
      <w:tabs>
        <w:tab w:val="left" w:pos="424"/>
      </w:tabs>
      <w:spacing w:before="100" w:beforeAutospacing="1" w:after="100" w:afterAutospacing="1"/>
      <w:outlineLvl w:val="4"/>
    </w:pPr>
    <w:rPr>
      <w:rFonts w:ascii="Times New Roman" w:hAnsi="Times New Roman"/>
      <w:b/>
    </w:rPr>
  </w:style>
  <w:style w:type="paragraph" w:styleId="7">
    <w:name w:val="heading 6"/>
    <w:basedOn w:val="1"/>
    <w:next w:val="1"/>
    <w:link w:val="36"/>
    <w:qFormat/>
    <w:uiPriority w:val="0"/>
    <w:pPr>
      <w:keepNext/>
      <w:keepLines/>
      <w:numPr>
        <w:ilvl w:val="5"/>
        <w:numId w:val="1"/>
      </w:numPr>
      <w:tabs>
        <w:tab w:val="left" w:pos="424"/>
      </w:tabs>
      <w:spacing w:before="100" w:beforeAutospacing="1" w:after="100" w:afterAutospacing="1"/>
      <w:ind w:left="425" w:hanging="425"/>
      <w:outlineLvl w:val="5"/>
    </w:pPr>
    <w:rPr>
      <w:rFonts w:ascii="Times New Roman" w:hAnsi="Times New Roman"/>
      <w:b/>
    </w:rPr>
  </w:style>
  <w:style w:type="paragraph" w:styleId="8">
    <w:name w:val="heading 7"/>
    <w:basedOn w:val="1"/>
    <w:next w:val="1"/>
    <w:link w:val="41"/>
    <w:qFormat/>
    <w:uiPriority w:val="0"/>
    <w:pPr>
      <w:keepNext/>
      <w:keepLines/>
      <w:numPr>
        <w:ilvl w:val="6"/>
        <w:numId w:val="1"/>
      </w:numPr>
      <w:tabs>
        <w:tab w:val="left" w:pos="424"/>
      </w:tabs>
      <w:spacing w:before="100" w:beforeAutospacing="1" w:after="100" w:afterAutospacing="1"/>
      <w:ind w:left="425" w:hanging="425"/>
      <w:outlineLvl w:val="6"/>
    </w:pPr>
    <w:rPr>
      <w:rFonts w:ascii="Times New Roman" w:hAnsi="Times New Roman"/>
      <w:b/>
    </w:rPr>
  </w:style>
  <w:style w:type="paragraph" w:styleId="9">
    <w:name w:val="heading 8"/>
    <w:basedOn w:val="1"/>
    <w:next w:val="1"/>
    <w:link w:val="42"/>
    <w:qFormat/>
    <w:uiPriority w:val="0"/>
    <w:pPr>
      <w:keepNext/>
      <w:keepLines/>
      <w:numPr>
        <w:ilvl w:val="7"/>
        <w:numId w:val="1"/>
      </w:numPr>
      <w:spacing w:before="340" w:after="330"/>
      <w:ind w:left="425" w:hanging="425"/>
      <w:outlineLvl w:val="7"/>
    </w:pPr>
    <w:rPr>
      <w:rFonts w:ascii="Times New Roman" w:hAnsi="Times New Roman"/>
      <w:b/>
    </w:rPr>
  </w:style>
  <w:style w:type="paragraph" w:styleId="10">
    <w:name w:val="heading 9"/>
    <w:basedOn w:val="1"/>
    <w:next w:val="1"/>
    <w:link w:val="35"/>
    <w:qFormat/>
    <w:uiPriority w:val="0"/>
    <w:pPr>
      <w:keepNext/>
      <w:keepLines/>
      <w:numPr>
        <w:ilvl w:val="8"/>
        <w:numId w:val="1"/>
      </w:numPr>
      <w:tabs>
        <w:tab w:val="left" w:pos="424"/>
      </w:tabs>
      <w:spacing w:before="340" w:after="330"/>
      <w:ind w:left="425" w:hanging="425"/>
      <w:outlineLvl w:val="8"/>
    </w:pPr>
    <w:rPr>
      <w:rFonts w:ascii="Times New Roman" w:hAnsi="Times New Roman"/>
      <w:b/>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Normal Indent"/>
    <w:basedOn w:val="1"/>
    <w:link w:val="70"/>
    <w:unhideWhenUsed/>
    <w:qFormat/>
    <w:uiPriority w:val="0"/>
    <w:pPr>
      <w:spacing w:line="240" w:lineRule="auto"/>
      <w:ind w:firstLine="420" w:firstLineChars="200"/>
    </w:pPr>
    <w:rPr>
      <w:sz w:val="21"/>
      <w:szCs w:val="22"/>
    </w:rPr>
  </w:style>
  <w:style w:type="paragraph" w:styleId="12">
    <w:name w:val="caption"/>
    <w:basedOn w:val="1"/>
    <w:next w:val="1"/>
    <w:qFormat/>
    <w:uiPriority w:val="99"/>
    <w:rPr>
      <w:rFonts w:ascii="Arial" w:hAnsi="Arial" w:eastAsia="黑体" w:cs="Arial"/>
      <w:sz w:val="20"/>
      <w:szCs w:val="20"/>
    </w:rPr>
  </w:style>
  <w:style w:type="paragraph" w:styleId="13">
    <w:name w:val="annotation text"/>
    <w:basedOn w:val="1"/>
    <w:link w:val="72"/>
    <w:qFormat/>
    <w:uiPriority w:val="0"/>
    <w:pPr>
      <w:spacing w:line="240" w:lineRule="auto"/>
      <w:jc w:val="left"/>
    </w:pPr>
    <w:rPr>
      <w:rFonts w:ascii="Times New Roman" w:hAnsi="Times New Roman"/>
      <w:kern w:val="0"/>
      <w:sz w:val="20"/>
    </w:rPr>
  </w:style>
  <w:style w:type="paragraph" w:styleId="14">
    <w:name w:val="Body Text 3"/>
    <w:basedOn w:val="1"/>
    <w:link w:val="34"/>
    <w:unhideWhenUsed/>
    <w:qFormat/>
    <w:uiPriority w:val="99"/>
    <w:pPr>
      <w:spacing w:before="100" w:beforeAutospacing="1" w:after="120"/>
    </w:pPr>
    <w:rPr>
      <w:rFonts w:ascii="Times New Roman" w:hAnsi="Times New Roman"/>
      <w:sz w:val="16"/>
      <w:szCs w:val="16"/>
    </w:rPr>
  </w:style>
  <w:style w:type="paragraph" w:styleId="15">
    <w:name w:val="Body Text"/>
    <w:basedOn w:val="1"/>
    <w:next w:val="1"/>
    <w:link w:val="65"/>
    <w:unhideWhenUsed/>
    <w:qFormat/>
    <w:uiPriority w:val="99"/>
    <w:pPr>
      <w:spacing w:after="120"/>
    </w:pPr>
  </w:style>
  <w:style w:type="paragraph" w:styleId="16">
    <w:name w:val="Body Text Indent"/>
    <w:basedOn w:val="1"/>
    <w:link w:val="47"/>
    <w:unhideWhenUsed/>
    <w:uiPriority w:val="99"/>
    <w:pPr>
      <w:ind w:firstLine="830" w:firstLineChars="352"/>
    </w:pPr>
    <w:rPr>
      <w:rFonts w:ascii="仿宋_GB2312" w:hAnsi="仿宋_GB2312" w:cs="宋体"/>
      <w:sz w:val="32"/>
      <w:szCs w:val="32"/>
    </w:rPr>
  </w:style>
  <w:style w:type="paragraph" w:styleId="17">
    <w:name w:val="toc 3"/>
    <w:basedOn w:val="1"/>
    <w:next w:val="1"/>
    <w:qFormat/>
    <w:uiPriority w:val="39"/>
    <w:pPr>
      <w:ind w:left="840" w:leftChars="400"/>
    </w:pPr>
  </w:style>
  <w:style w:type="paragraph" w:styleId="18">
    <w:name w:val="Plain Text"/>
    <w:basedOn w:val="1"/>
    <w:link w:val="40"/>
    <w:unhideWhenUsed/>
    <w:qFormat/>
    <w:uiPriority w:val="99"/>
    <w:rPr>
      <w:rFonts w:ascii="宋体" w:hAnsi="Courier New" w:cs="Courier New"/>
      <w:szCs w:val="21"/>
    </w:rPr>
  </w:style>
  <w:style w:type="paragraph" w:styleId="19">
    <w:name w:val="footer"/>
    <w:basedOn w:val="1"/>
    <w:link w:val="45"/>
    <w:unhideWhenUsed/>
    <w:qFormat/>
    <w:uiPriority w:val="99"/>
    <w:pPr>
      <w:tabs>
        <w:tab w:val="center" w:pos="4153"/>
        <w:tab w:val="right" w:pos="8306"/>
      </w:tabs>
      <w:snapToGrid w:val="0"/>
      <w:jc w:val="left"/>
    </w:pPr>
    <w:rPr>
      <w:sz w:val="18"/>
      <w:szCs w:val="18"/>
    </w:rPr>
  </w:style>
  <w:style w:type="paragraph" w:styleId="20">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index heading"/>
    <w:basedOn w:val="1"/>
    <w:next w:val="23"/>
    <w:unhideWhenUsed/>
    <w:qFormat/>
    <w:uiPriority w:val="99"/>
    <w:rPr>
      <w:rFonts w:ascii="Times New Roman" w:hAnsi="Times New Roman"/>
      <w:szCs w:val="21"/>
    </w:rPr>
  </w:style>
  <w:style w:type="paragraph" w:styleId="23">
    <w:name w:val="index 1"/>
    <w:basedOn w:val="1"/>
    <w:next w:val="1"/>
    <w:unhideWhenUsed/>
    <w:qFormat/>
    <w:uiPriority w:val="99"/>
    <w:pPr>
      <w:jc w:val="center"/>
    </w:pPr>
    <w:rPr>
      <w:rFonts w:ascii="仿宋" w:hAnsi="仿宋" w:eastAsia="仿宋" w:cs="宋体"/>
      <w:b/>
      <w:bCs/>
      <w:sz w:val="28"/>
      <w:szCs w:val="28"/>
    </w:rPr>
  </w:style>
  <w:style w:type="paragraph" w:styleId="24">
    <w:name w:val="toc 2"/>
    <w:basedOn w:val="1"/>
    <w:next w:val="1"/>
    <w:qFormat/>
    <w:uiPriority w:val="39"/>
    <w:pPr>
      <w:ind w:left="420" w:leftChars="200"/>
    </w:pPr>
  </w:style>
  <w:style w:type="paragraph" w:styleId="25">
    <w:name w:val="annotation subject"/>
    <w:basedOn w:val="13"/>
    <w:next w:val="13"/>
    <w:link w:val="73"/>
    <w:semiHidden/>
    <w:unhideWhenUsed/>
    <w:qFormat/>
    <w:uiPriority w:val="99"/>
    <w:pPr>
      <w:spacing w:line="360" w:lineRule="auto"/>
    </w:pPr>
    <w:rPr>
      <w:rFonts w:ascii="Calibri" w:hAnsi="Calibri"/>
      <w:b/>
      <w:bCs/>
      <w:kern w:val="2"/>
      <w:sz w:val="24"/>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rPr>
  </w:style>
  <w:style w:type="character" w:styleId="30">
    <w:name w:val="Hyperlink"/>
    <w:qFormat/>
    <w:uiPriority w:val="99"/>
    <w:rPr>
      <w:color w:val="0563C1"/>
      <w:u w:val="single"/>
    </w:rPr>
  </w:style>
  <w:style w:type="character" w:styleId="31">
    <w:name w:val="annotation reference"/>
    <w:qFormat/>
    <w:uiPriority w:val="0"/>
    <w:rPr>
      <w:sz w:val="21"/>
      <w:szCs w:val="21"/>
    </w:rPr>
  </w:style>
  <w:style w:type="character" w:customStyle="1" w:styleId="32">
    <w:name w:val="标题 2 字符"/>
    <w:link w:val="4"/>
    <w:qFormat/>
    <w:uiPriority w:val="0"/>
    <w:rPr>
      <w:rFonts w:ascii="Times New Roman" w:hAnsi="Times New Roman"/>
      <w:b/>
      <w:kern w:val="2"/>
      <w:sz w:val="30"/>
      <w:szCs w:val="24"/>
    </w:rPr>
  </w:style>
  <w:style w:type="character" w:customStyle="1" w:styleId="33">
    <w:name w:val="标题 3 字符"/>
    <w:link w:val="5"/>
    <w:qFormat/>
    <w:uiPriority w:val="0"/>
    <w:rPr>
      <w:rFonts w:ascii="Times New Roman" w:hAnsi="Times New Roman"/>
      <w:b/>
      <w:kern w:val="2"/>
      <w:sz w:val="28"/>
      <w:szCs w:val="24"/>
    </w:rPr>
  </w:style>
  <w:style w:type="character" w:customStyle="1" w:styleId="34">
    <w:name w:val="正文文本 3 字符"/>
    <w:link w:val="14"/>
    <w:qFormat/>
    <w:uiPriority w:val="99"/>
    <w:rPr>
      <w:rFonts w:ascii="Times New Roman" w:hAnsi="Times New Roman"/>
      <w:kern w:val="2"/>
      <w:sz w:val="16"/>
      <w:szCs w:val="16"/>
    </w:rPr>
  </w:style>
  <w:style w:type="character" w:customStyle="1" w:styleId="35">
    <w:name w:val="标题 9 字符"/>
    <w:link w:val="10"/>
    <w:qFormat/>
    <w:uiPriority w:val="0"/>
    <w:rPr>
      <w:rFonts w:ascii="Times New Roman" w:hAnsi="Times New Roman"/>
      <w:b/>
      <w:kern w:val="2"/>
      <w:sz w:val="24"/>
      <w:szCs w:val="24"/>
    </w:rPr>
  </w:style>
  <w:style w:type="character" w:customStyle="1" w:styleId="36">
    <w:name w:val="标题 6 字符"/>
    <w:link w:val="7"/>
    <w:qFormat/>
    <w:uiPriority w:val="0"/>
    <w:rPr>
      <w:rFonts w:ascii="Times New Roman" w:hAnsi="Times New Roman"/>
      <w:b/>
      <w:kern w:val="2"/>
      <w:sz w:val="24"/>
      <w:szCs w:val="24"/>
    </w:rPr>
  </w:style>
  <w:style w:type="character" w:customStyle="1" w:styleId="37">
    <w:name w:val="15"/>
    <w:qFormat/>
    <w:uiPriority w:val="0"/>
    <w:rPr>
      <w:rFonts w:hint="default" w:ascii="Times New Roman" w:hAnsi="Times New Roman" w:cs="Times New Roman"/>
    </w:rPr>
  </w:style>
  <w:style w:type="character" w:customStyle="1" w:styleId="38">
    <w:name w:val="页眉 字符"/>
    <w:link w:val="20"/>
    <w:qFormat/>
    <w:uiPriority w:val="99"/>
    <w:rPr>
      <w:sz w:val="18"/>
      <w:szCs w:val="18"/>
    </w:rPr>
  </w:style>
  <w:style w:type="character" w:customStyle="1" w:styleId="39">
    <w:name w:val="10"/>
    <w:qFormat/>
    <w:uiPriority w:val="0"/>
    <w:rPr>
      <w:rFonts w:hint="default" w:ascii="Times New Roman" w:hAnsi="Times New Roman" w:cs="Times New Roman"/>
    </w:rPr>
  </w:style>
  <w:style w:type="character" w:customStyle="1" w:styleId="40">
    <w:name w:val="纯文本 字符"/>
    <w:link w:val="18"/>
    <w:qFormat/>
    <w:uiPriority w:val="99"/>
    <w:rPr>
      <w:rFonts w:ascii="宋体" w:hAnsi="Courier New" w:cs="Courier New"/>
      <w:kern w:val="2"/>
      <w:sz w:val="21"/>
      <w:szCs w:val="21"/>
    </w:rPr>
  </w:style>
  <w:style w:type="character" w:customStyle="1" w:styleId="41">
    <w:name w:val="标题 7 字符"/>
    <w:link w:val="8"/>
    <w:qFormat/>
    <w:uiPriority w:val="0"/>
    <w:rPr>
      <w:rFonts w:ascii="Times New Roman" w:hAnsi="Times New Roman"/>
      <w:b/>
      <w:kern w:val="2"/>
      <w:sz w:val="24"/>
      <w:szCs w:val="24"/>
    </w:rPr>
  </w:style>
  <w:style w:type="character" w:customStyle="1" w:styleId="42">
    <w:name w:val="标题 8 字符"/>
    <w:link w:val="9"/>
    <w:qFormat/>
    <w:uiPriority w:val="0"/>
    <w:rPr>
      <w:rFonts w:ascii="Times New Roman" w:hAnsi="Times New Roman"/>
      <w:b/>
      <w:kern w:val="2"/>
      <w:sz w:val="24"/>
      <w:szCs w:val="24"/>
    </w:rPr>
  </w:style>
  <w:style w:type="character" w:customStyle="1" w:styleId="43">
    <w:name w:val="标题 1 字符"/>
    <w:link w:val="3"/>
    <w:qFormat/>
    <w:uiPriority w:val="0"/>
    <w:rPr>
      <w:rFonts w:ascii="Times New Roman" w:hAnsi="Times New Roman"/>
      <w:b/>
      <w:kern w:val="44"/>
      <w:sz w:val="36"/>
      <w:szCs w:val="24"/>
    </w:rPr>
  </w:style>
  <w:style w:type="character" w:customStyle="1" w:styleId="44">
    <w:name w:val="标题 5 字符"/>
    <w:link w:val="2"/>
    <w:qFormat/>
    <w:uiPriority w:val="0"/>
    <w:rPr>
      <w:rFonts w:ascii="Times New Roman" w:hAnsi="Times New Roman"/>
      <w:b/>
      <w:kern w:val="2"/>
      <w:sz w:val="24"/>
      <w:szCs w:val="24"/>
    </w:rPr>
  </w:style>
  <w:style w:type="character" w:customStyle="1" w:styleId="45">
    <w:name w:val="页脚 字符"/>
    <w:link w:val="19"/>
    <w:qFormat/>
    <w:uiPriority w:val="99"/>
    <w:rPr>
      <w:sz w:val="18"/>
      <w:szCs w:val="18"/>
    </w:rPr>
  </w:style>
  <w:style w:type="character" w:customStyle="1" w:styleId="46">
    <w:name w:val="标题 4 字符"/>
    <w:link w:val="6"/>
    <w:qFormat/>
    <w:uiPriority w:val="0"/>
    <w:rPr>
      <w:rFonts w:ascii="Times New Roman" w:hAnsi="Times New Roman"/>
      <w:b/>
      <w:kern w:val="2"/>
      <w:sz w:val="24"/>
      <w:szCs w:val="24"/>
    </w:rPr>
  </w:style>
  <w:style w:type="character" w:customStyle="1" w:styleId="47">
    <w:name w:val="正文文本缩进 字符"/>
    <w:link w:val="16"/>
    <w:qFormat/>
    <w:uiPriority w:val="99"/>
    <w:rPr>
      <w:rFonts w:ascii="仿宋_GB2312" w:hAnsi="仿宋_GB2312" w:cs="宋体"/>
      <w:kern w:val="2"/>
      <w:sz w:val="32"/>
      <w:szCs w:val="32"/>
    </w:rPr>
  </w:style>
  <w:style w:type="paragraph" w:customStyle="1" w:styleId="48">
    <w:name w:val="目录 51"/>
    <w:basedOn w:val="1"/>
    <w:next w:val="1"/>
    <w:unhideWhenUsed/>
    <w:qFormat/>
    <w:uiPriority w:val="39"/>
    <w:pPr>
      <w:ind w:left="840"/>
      <w:jc w:val="left"/>
    </w:pPr>
    <w:rPr>
      <w:rFonts w:cs="Calibri"/>
      <w:sz w:val="18"/>
      <w:szCs w:val="18"/>
    </w:rPr>
  </w:style>
  <w:style w:type="paragraph" w:customStyle="1" w:styleId="49">
    <w:name w:val="目录 41"/>
    <w:basedOn w:val="1"/>
    <w:next w:val="1"/>
    <w:unhideWhenUsed/>
    <w:qFormat/>
    <w:uiPriority w:val="39"/>
    <w:pPr>
      <w:ind w:left="630"/>
      <w:jc w:val="left"/>
    </w:pPr>
    <w:rPr>
      <w:rFonts w:cs="Calibri"/>
      <w:sz w:val="18"/>
      <w:szCs w:val="18"/>
    </w:rPr>
  </w:style>
  <w:style w:type="paragraph" w:customStyle="1" w:styleId="50">
    <w:name w:val="目录 81"/>
    <w:basedOn w:val="1"/>
    <w:next w:val="1"/>
    <w:unhideWhenUsed/>
    <w:qFormat/>
    <w:uiPriority w:val="39"/>
    <w:pPr>
      <w:ind w:left="1470"/>
      <w:jc w:val="left"/>
    </w:pPr>
    <w:rPr>
      <w:rFonts w:cs="Calibri"/>
      <w:sz w:val="18"/>
      <w:szCs w:val="18"/>
    </w:rPr>
  </w:style>
  <w:style w:type="paragraph" w:customStyle="1" w:styleId="51">
    <w:name w:val="目录 71"/>
    <w:basedOn w:val="1"/>
    <w:next w:val="1"/>
    <w:unhideWhenUsed/>
    <w:qFormat/>
    <w:uiPriority w:val="39"/>
    <w:pPr>
      <w:ind w:left="1260"/>
      <w:jc w:val="left"/>
    </w:pPr>
    <w:rPr>
      <w:rFonts w:cs="Calibri"/>
      <w:sz w:val="18"/>
      <w:szCs w:val="18"/>
    </w:rPr>
  </w:style>
  <w:style w:type="paragraph" w:customStyle="1" w:styleId="52">
    <w:name w:val="目录 31"/>
    <w:basedOn w:val="1"/>
    <w:next w:val="1"/>
    <w:qFormat/>
    <w:uiPriority w:val="39"/>
    <w:pPr>
      <w:ind w:left="420"/>
      <w:jc w:val="left"/>
    </w:pPr>
    <w:rPr>
      <w:rFonts w:cs="Calibri"/>
      <w:i/>
      <w:iCs/>
      <w:sz w:val="20"/>
      <w:szCs w:val="20"/>
    </w:rPr>
  </w:style>
  <w:style w:type="paragraph" w:customStyle="1" w:styleId="53">
    <w:name w:val="目录 11"/>
    <w:basedOn w:val="1"/>
    <w:next w:val="1"/>
    <w:qFormat/>
    <w:uiPriority w:val="39"/>
    <w:pPr>
      <w:spacing w:before="120" w:after="120"/>
      <w:jc w:val="left"/>
    </w:pPr>
    <w:rPr>
      <w:rFonts w:cs="Calibri"/>
      <w:b/>
      <w:bCs/>
      <w:caps/>
      <w:sz w:val="20"/>
      <w:szCs w:val="20"/>
    </w:rPr>
  </w:style>
  <w:style w:type="paragraph" w:customStyle="1" w:styleId="54">
    <w:name w:val="目录 61"/>
    <w:basedOn w:val="1"/>
    <w:next w:val="1"/>
    <w:unhideWhenUsed/>
    <w:qFormat/>
    <w:uiPriority w:val="39"/>
    <w:pPr>
      <w:ind w:left="1050"/>
      <w:jc w:val="left"/>
    </w:pPr>
    <w:rPr>
      <w:rFonts w:cs="Calibri"/>
      <w:sz w:val="18"/>
      <w:szCs w:val="18"/>
    </w:rPr>
  </w:style>
  <w:style w:type="paragraph" w:customStyle="1" w:styleId="55">
    <w:name w:val="目录 21"/>
    <w:basedOn w:val="1"/>
    <w:next w:val="1"/>
    <w:qFormat/>
    <w:uiPriority w:val="39"/>
    <w:pPr>
      <w:ind w:left="210"/>
      <w:jc w:val="left"/>
    </w:pPr>
    <w:rPr>
      <w:rFonts w:cs="Calibri"/>
      <w:smallCaps/>
      <w:sz w:val="20"/>
      <w:szCs w:val="20"/>
    </w:rPr>
  </w:style>
  <w:style w:type="paragraph" w:customStyle="1" w:styleId="56">
    <w:name w:val="目录 91"/>
    <w:basedOn w:val="1"/>
    <w:next w:val="1"/>
    <w:unhideWhenUsed/>
    <w:qFormat/>
    <w:uiPriority w:val="39"/>
    <w:pPr>
      <w:ind w:left="1680"/>
      <w:jc w:val="left"/>
    </w:pPr>
    <w:rPr>
      <w:rFonts w:cs="Calibri"/>
      <w:sz w:val="18"/>
      <w:szCs w:val="18"/>
    </w:rPr>
  </w:style>
  <w:style w:type="paragraph" w:customStyle="1" w:styleId="57">
    <w:name w:val="msolistparagraph"/>
    <w:basedOn w:val="1"/>
    <w:qFormat/>
    <w:uiPriority w:val="0"/>
    <w:pPr>
      <w:ind w:firstLine="420" w:firstLineChars="200"/>
    </w:pPr>
  </w:style>
  <w:style w:type="paragraph" w:customStyle="1" w:styleId="58">
    <w:name w:val="Normal0"/>
    <w:qFormat/>
    <w:uiPriority w:val="0"/>
    <w:rPr>
      <w:rFonts w:ascii="Times New Roman" w:hAnsi="Times New Roman" w:eastAsia="宋体" w:cs="Times New Roman"/>
      <w:lang w:val="en-US" w:eastAsia="en-US" w:bidi="ar-SA"/>
    </w:rPr>
  </w:style>
  <w:style w:type="paragraph" w:customStyle="1" w:styleId="59">
    <w:name w:val="表格文字"/>
    <w:basedOn w:val="1"/>
    <w:qFormat/>
    <w:uiPriority w:val="0"/>
    <w:pPr>
      <w:spacing w:before="25" w:after="25"/>
      <w:jc w:val="left"/>
    </w:pPr>
    <w:rPr>
      <w:rFonts w:ascii="Times New Roman" w:hAnsi="Times New Roman"/>
      <w:spacing w:val="10"/>
      <w:kern w:val="0"/>
    </w:rPr>
  </w:style>
  <w:style w:type="paragraph" w:customStyle="1" w:styleId="60">
    <w:name w:val="题注4"/>
    <w:basedOn w:val="1"/>
    <w:next w:val="12"/>
    <w:qFormat/>
    <w:uiPriority w:val="0"/>
    <w:pPr>
      <w:spacing w:before="100" w:beforeAutospacing="1" w:after="100" w:afterAutospacing="1"/>
      <w:ind w:left="-132" w:leftChars="-64" w:right="-105" w:rightChars="-50" w:hanging="2"/>
      <w:jc w:val="center"/>
    </w:pPr>
    <w:rPr>
      <w:rFonts w:ascii="Times New Roman" w:hAnsi="Times New Roman"/>
      <w:b/>
      <w:bCs/>
      <w:color w:val="FF0000"/>
      <w:szCs w:val="21"/>
    </w:rPr>
  </w:style>
  <w:style w:type="paragraph" w:customStyle="1" w:styleId="61">
    <w:name w:val="图"/>
    <w:basedOn w:val="1"/>
    <w:qFormat/>
    <w:uiPriority w:val="0"/>
    <w:pPr>
      <w:keepNext/>
      <w:adjustRightInd w:val="0"/>
      <w:spacing w:before="60" w:after="60" w:line="300" w:lineRule="auto"/>
      <w:jc w:val="center"/>
      <w:textAlignment w:val="center"/>
    </w:pPr>
    <w:rPr>
      <w:rFonts w:ascii="Times New Roman" w:hAnsi="Times New Roman"/>
      <w:spacing w:val="20"/>
      <w:kern w:val="0"/>
    </w:rPr>
  </w:style>
  <w:style w:type="paragraph" w:customStyle="1" w:styleId="62">
    <w:name w:val="题注5"/>
    <w:basedOn w:val="1"/>
    <w:next w:val="12"/>
    <w:qFormat/>
    <w:uiPriority w:val="0"/>
    <w:pPr>
      <w:jc w:val="center"/>
    </w:pPr>
    <w:rPr>
      <w:rFonts w:ascii="Times New Roman" w:hAnsi="Times New Roman"/>
      <w:b/>
      <w:bCs/>
      <w:color w:val="000000"/>
    </w:rPr>
  </w:style>
  <w:style w:type="paragraph" w:customStyle="1" w:styleId="63">
    <w:name w:val="*正文"/>
    <w:basedOn w:val="1"/>
    <w:link w:val="64"/>
    <w:qFormat/>
    <w:uiPriority w:val="0"/>
    <w:pPr>
      <w:ind w:firstLine="480" w:firstLineChars="200"/>
    </w:pPr>
    <w:rPr>
      <w:rFonts w:ascii="仿宋_GB2312" w:hAnsi="Times New Roman" w:eastAsia="仿宋_GB2312"/>
      <w:szCs w:val="28"/>
    </w:rPr>
  </w:style>
  <w:style w:type="character" w:customStyle="1" w:styleId="64">
    <w:name w:val="*正文 Char"/>
    <w:link w:val="63"/>
    <w:qFormat/>
    <w:uiPriority w:val="0"/>
    <w:rPr>
      <w:rFonts w:ascii="仿宋_GB2312" w:hAnsi="Times New Roman" w:eastAsia="仿宋_GB2312"/>
      <w:kern w:val="2"/>
      <w:sz w:val="24"/>
      <w:szCs w:val="28"/>
    </w:rPr>
  </w:style>
  <w:style w:type="character" w:customStyle="1" w:styleId="65">
    <w:name w:val="正文文本 字符"/>
    <w:basedOn w:val="28"/>
    <w:link w:val="15"/>
    <w:qFormat/>
    <w:uiPriority w:val="99"/>
    <w:rPr>
      <w:kern w:val="2"/>
      <w:sz w:val="24"/>
      <w:szCs w:val="24"/>
    </w:rPr>
  </w:style>
  <w:style w:type="character" w:customStyle="1" w:styleId="66">
    <w:name w:val="页脚 Char1"/>
    <w:qFormat/>
    <w:uiPriority w:val="99"/>
    <w:rPr>
      <w:rFonts w:ascii="Times New Roman" w:hAnsi="Times New Roman"/>
      <w:sz w:val="18"/>
      <w:szCs w:val="18"/>
    </w:rPr>
  </w:style>
  <w:style w:type="paragraph" w:styleId="67">
    <w:name w:val="List Paragraph"/>
    <w:basedOn w:val="1"/>
    <w:qFormat/>
    <w:uiPriority w:val="99"/>
    <w:pPr>
      <w:ind w:firstLine="420" w:firstLineChars="200"/>
    </w:pPr>
  </w:style>
  <w:style w:type="character" w:customStyle="1" w:styleId="68">
    <w:name w:val="图标注 Char Char"/>
    <w:link w:val="69"/>
    <w:qFormat/>
    <w:uiPriority w:val="0"/>
    <w:rPr>
      <w:szCs w:val="24"/>
    </w:rPr>
  </w:style>
  <w:style w:type="paragraph" w:customStyle="1" w:styleId="69">
    <w:name w:val="图标注"/>
    <w:basedOn w:val="1"/>
    <w:link w:val="68"/>
    <w:qFormat/>
    <w:uiPriority w:val="0"/>
    <w:pPr>
      <w:adjustRightInd w:val="0"/>
      <w:snapToGrid w:val="0"/>
      <w:spacing w:line="240" w:lineRule="auto"/>
      <w:jc w:val="center"/>
    </w:pPr>
    <w:rPr>
      <w:kern w:val="0"/>
      <w:sz w:val="20"/>
    </w:rPr>
  </w:style>
  <w:style w:type="character" w:customStyle="1" w:styleId="70">
    <w:name w:val="正文缩进 字符"/>
    <w:link w:val="11"/>
    <w:qFormat/>
    <w:uiPriority w:val="0"/>
    <w:rPr>
      <w:kern w:val="2"/>
      <w:sz w:val="21"/>
      <w:szCs w:val="22"/>
    </w:rPr>
  </w:style>
  <w:style w:type="character" w:customStyle="1" w:styleId="71">
    <w:name w:val="批注文字 字符"/>
    <w:basedOn w:val="28"/>
    <w:semiHidden/>
    <w:qFormat/>
    <w:uiPriority w:val="99"/>
    <w:rPr>
      <w:kern w:val="2"/>
      <w:sz w:val="24"/>
      <w:szCs w:val="24"/>
    </w:rPr>
  </w:style>
  <w:style w:type="character" w:customStyle="1" w:styleId="72">
    <w:name w:val="批注文字 字符1"/>
    <w:link w:val="13"/>
    <w:qFormat/>
    <w:uiPriority w:val="0"/>
    <w:rPr>
      <w:rFonts w:ascii="Times New Roman" w:hAnsi="Times New Roman"/>
      <w:szCs w:val="24"/>
    </w:rPr>
  </w:style>
  <w:style w:type="character" w:customStyle="1" w:styleId="73">
    <w:name w:val="批注主题 字符"/>
    <w:basedOn w:val="72"/>
    <w:link w:val="25"/>
    <w:semiHidden/>
    <w:qFormat/>
    <w:uiPriority w:val="99"/>
    <w:rPr>
      <w:rFonts w:ascii="Times New Roman" w:hAnsi="Times New Roman"/>
      <w:b/>
      <w:bCs/>
      <w:kern w:val="2"/>
      <w:sz w:val="24"/>
      <w:szCs w:val="24"/>
    </w:rPr>
  </w:style>
  <w:style w:type="paragraph" w:customStyle="1" w:styleId="74">
    <w:name w:val="TOC 标题1"/>
    <w:basedOn w:val="3"/>
    <w:next w:val="1"/>
    <w:unhideWhenUsed/>
    <w:qFormat/>
    <w:uiPriority w:val="39"/>
    <w:pPr>
      <w:pageBreakBefore w:val="0"/>
      <w:widowControl/>
      <w:numPr>
        <w:numId w:val="0"/>
      </w:numPr>
      <w:tabs>
        <w:tab w:val="clear" w:pos="424"/>
      </w:tabs>
      <w:spacing w:before="240" w:beforeAutospacing="0" w:after="0" w:afterAutospacing="0" w:line="259" w:lineRule="auto"/>
      <w:jc w:val="left"/>
      <w:outlineLvl w:val="9"/>
    </w:pPr>
    <w:rPr>
      <w:rFonts w:asciiTheme="majorHAnsi" w:hAnsiTheme="majorHAnsi" w:eastAsiaTheme="majorEastAsia" w:cstheme="majorBidi"/>
      <w:b w:val="0"/>
      <w:color w:val="2F5597" w:themeColor="accent1" w:themeShade="BF"/>
      <w:kern w:val="0"/>
      <w:sz w:val="32"/>
      <w:szCs w:val="32"/>
    </w:rPr>
  </w:style>
  <w:style w:type="character" w:customStyle="1" w:styleId="75">
    <w:name w:val="font01"/>
    <w:basedOn w:val="28"/>
    <w:qFormat/>
    <w:uiPriority w:val="0"/>
    <w:rPr>
      <w:rFonts w:hint="eastAsia" w:ascii="宋体" w:hAnsi="宋体" w:eastAsia="宋体" w:cs="宋体"/>
      <w:color w:val="000000"/>
      <w:sz w:val="24"/>
      <w:szCs w:val="24"/>
      <w:u w:val="none"/>
    </w:rPr>
  </w:style>
  <w:style w:type="character" w:customStyle="1" w:styleId="76">
    <w:name w:val="font21"/>
    <w:basedOn w:val="28"/>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049A-D373-4D96-9250-77CCC4D7B2D7}">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3977</Words>
  <Characters>4157</Characters>
  <Lines>74</Lines>
  <Paragraphs>20</Paragraphs>
  <TotalTime>125</TotalTime>
  <ScaleCrop>false</ScaleCrop>
  <LinksUpToDate>false</LinksUpToDate>
  <CharactersWithSpaces>4158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2023-03-10T03:03:00Z</dcterms:created>
  <dc:creator>hlht</dc:creator>
  <cp:lastModifiedBy>黄秉勋</cp:lastModifiedBy>
  <dcterms:modified xsi:type="dcterms:W3CDTF">2025-03-12T07:10:18Z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D5783DA29D694451863A82B9B128D1DA_13</vt:lpwstr>
  </property>
  <property fmtid="{D5CDD505-2E9C-101B-9397-08002B2CF9AE}" pid="4" name="KSOTemplateDocerSaveRecord">
    <vt:lpwstr>eyJoZGlkIjoiNmEyNjk1MjQ1MGJiOWZmZDJiZjU0NWYzMjI3YjdiNWEiLCJ1c2VySWQiOiIxNjQzODQ2NTA2In0=</vt:lpwstr>
  </property>
</Properties>
</file>